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olo"/>
        <w:rPr>
          <w:b w:val="0"/>
          <w:i w:val="0"/>
          <w:sz w:val="40"/>
        </w:rPr>
      </w:pPr>
      <w:bookmarkStart w:id="0" w:name="_GoBack"/>
      <w:bookmarkEnd w:id="0"/>
    </w:p>
    <w:p>
      <w:pPr>
        <w:pStyle w:val="Titolo"/>
        <w:rPr>
          <w:b w:val="0"/>
          <w:i w:val="0"/>
          <w:sz w:val="40"/>
        </w:rPr>
      </w:pPr>
    </w:p>
    <w:p>
      <w:pPr>
        <w:pStyle w:val="Titolo"/>
        <w:rPr>
          <w:b w:val="0"/>
          <w:i w:val="0"/>
          <w:sz w:val="40"/>
        </w:rPr>
      </w:pPr>
    </w:p>
    <w:p>
      <w:pPr>
        <w:pStyle w:val="Titolo"/>
        <w:rPr>
          <w:b w:val="0"/>
          <w:i w:val="0"/>
          <w:sz w:val="40"/>
        </w:rPr>
      </w:pPr>
      <w:r>
        <w:rPr>
          <w:b w:val="0"/>
          <w:i w:val="0"/>
          <w:sz w:val="40"/>
        </w:rPr>
        <w:t>COMUNE DI LAGNASCO</w:t>
      </w:r>
    </w:p>
    <w:p>
      <w:pPr>
        <w:pStyle w:val="Titolo"/>
        <w:rPr>
          <w:b w:val="0"/>
          <w:i w:val="0"/>
          <w:sz w:val="40"/>
        </w:rPr>
      </w:pPr>
      <w:r>
        <w:rPr>
          <w:b w:val="0"/>
          <w:i w:val="0"/>
          <w:sz w:val="40"/>
        </w:rPr>
        <w:t>Provincia di Cuneo</w:t>
      </w:r>
    </w:p>
    <w:p>
      <w:pPr>
        <w:pStyle w:val="Titolo"/>
        <w:rPr>
          <w:b w:val="0"/>
          <w:i w:val="0"/>
          <w:sz w:val="40"/>
        </w:rPr>
      </w:pPr>
    </w:p>
    <w:p>
      <w:pPr>
        <w:pStyle w:val="Titolo"/>
        <w:rPr>
          <w:b w:val="0"/>
          <w:i w:val="0"/>
          <w:sz w:val="40"/>
        </w:rPr>
      </w:pPr>
    </w:p>
    <w:p>
      <w:pPr>
        <w:pStyle w:val="Titolo"/>
        <w:rPr>
          <w:sz w:val="40"/>
        </w:rPr>
      </w:pPr>
      <w:r>
        <w:rPr>
          <w:sz w:val="40"/>
        </w:rPr>
        <w:t xml:space="preserve">Parere dell’organo di revisione sulla proposta di </w:t>
      </w:r>
    </w:p>
    <w:p>
      <w:pPr>
        <w:pStyle w:val="Titolo"/>
        <w:rPr>
          <w:sz w:val="40"/>
        </w:rPr>
      </w:pPr>
      <w:r>
        <w:rPr>
          <w:sz w:val="40"/>
        </w:rPr>
        <w:t>BILANCIO DI PREVISIONE 2018 – 2020</w:t>
      </w:r>
    </w:p>
    <w:p>
      <w:pPr>
        <w:pStyle w:val="Titolo"/>
        <w:rPr>
          <w:b w:val="0"/>
          <w:i w:val="0"/>
          <w:sz w:val="40"/>
        </w:rPr>
      </w:pPr>
      <w:r>
        <w:rPr>
          <w:sz w:val="40"/>
        </w:rPr>
        <w:t>e documenti allegati</w:t>
      </w:r>
    </w:p>
    <w:p>
      <w:pPr>
        <w:pStyle w:val="Titolo"/>
        <w:rPr>
          <w:b w:val="0"/>
          <w:i w:val="0"/>
          <w:sz w:val="40"/>
        </w:rPr>
      </w:pPr>
    </w:p>
    <w:p>
      <w:pPr>
        <w:pStyle w:val="Titolo"/>
        <w:rPr>
          <w:b w:val="0"/>
          <w:i w:val="0"/>
          <w:sz w:val="40"/>
        </w:rPr>
      </w:pPr>
    </w:p>
    <w:p>
      <w:pPr>
        <w:pStyle w:val="Titolo"/>
        <w:rPr>
          <w:b w:val="0"/>
          <w:i w:val="0"/>
          <w:sz w:val="40"/>
        </w:rPr>
      </w:pPr>
    </w:p>
    <w:p>
      <w:pPr>
        <w:pStyle w:val="Titolo"/>
        <w:rPr>
          <w:b w:val="0"/>
          <w:i w:val="0"/>
          <w:sz w:val="40"/>
        </w:rPr>
      </w:pPr>
    </w:p>
    <w:p>
      <w:pPr>
        <w:pStyle w:val="Titolo"/>
        <w:rPr>
          <w:i w:val="0"/>
          <w:sz w:val="28"/>
        </w:rPr>
      </w:pPr>
    </w:p>
    <w:p>
      <w:pPr>
        <w:pStyle w:val="Titolo"/>
        <w:rPr>
          <w:b w:val="0"/>
          <w:sz w:val="28"/>
        </w:rPr>
      </w:pPr>
      <w:r>
        <w:rPr>
          <w:b w:val="0"/>
          <w:sz w:val="28"/>
        </w:rPr>
        <w:t>L’ORGANO DI REVISIONE</w:t>
      </w:r>
    </w:p>
    <w:p>
      <w:pPr>
        <w:pStyle w:val="Titolo"/>
        <w:rPr>
          <w:b w:val="0"/>
          <w:sz w:val="28"/>
        </w:rPr>
      </w:pPr>
      <w:r>
        <w:rPr>
          <w:b w:val="0"/>
          <w:sz w:val="28"/>
        </w:rPr>
        <w:t>PAPALIA DOTT. DOMENICO</w:t>
      </w:r>
    </w:p>
    <w:p>
      <w:pPr>
        <w:pStyle w:val="cpv"/>
        <w:widowControl/>
        <w:jc w:val="center"/>
        <w:rPr>
          <w:rFonts w:ascii="Arial" w:hAnsi="Arial" w:cs="Arial"/>
          <w:b/>
          <w:sz w:val="32"/>
        </w:rPr>
      </w:pPr>
    </w:p>
    <w:p>
      <w:pPr>
        <w:pStyle w:val="cpv"/>
        <w:widowControl/>
        <w:jc w:val="center"/>
        <w:rPr>
          <w:rFonts w:ascii="Arial" w:hAnsi="Arial" w:cs="Arial"/>
          <w:b/>
          <w:sz w:val="32"/>
        </w:rPr>
      </w:pPr>
      <w:r>
        <w:rPr>
          <w:rFonts w:ascii="Arial" w:hAnsi="Arial" w:cs="Arial"/>
          <w:b/>
          <w:sz w:val="32"/>
        </w:rPr>
        <w:lastRenderedPageBreak/>
        <w:t>L’ORGANO DI REVISIONE</w:t>
      </w:r>
    </w:p>
    <w:p>
      <w:pPr>
        <w:pStyle w:val="cpv"/>
        <w:widowControl/>
        <w:jc w:val="center"/>
        <w:rPr>
          <w:rFonts w:ascii="Arial" w:hAnsi="Arial" w:cs="Arial"/>
        </w:rPr>
      </w:pPr>
      <w:r>
        <w:rPr>
          <w:rFonts w:ascii="Arial" w:hAnsi="Arial" w:cs="Arial"/>
          <w:b/>
        </w:rPr>
        <w:t>Verbale n. 2 del 19/02/2018</w:t>
      </w:r>
    </w:p>
    <w:p>
      <w:pPr>
        <w:pStyle w:val="LIV2"/>
        <w:widowControl/>
        <w:spacing w:after="0"/>
        <w:jc w:val="center"/>
        <w:rPr>
          <w:rFonts w:ascii="Arial" w:hAnsi="Arial" w:cs="Arial"/>
          <w:sz w:val="24"/>
        </w:rPr>
      </w:pPr>
      <w:r>
        <w:rPr>
          <w:rFonts w:ascii="Arial" w:hAnsi="Arial" w:cs="Arial"/>
          <w:sz w:val="24"/>
        </w:rPr>
        <w:t>PARERE SUL BILANCIO DI PREVISIONE 2018-2020</w:t>
      </w:r>
    </w:p>
    <w:p>
      <w:pPr>
        <w:pStyle w:val="cpv"/>
        <w:widowControl/>
        <w:tabs>
          <w:tab w:val="left" w:pos="6652"/>
        </w:tabs>
        <w:spacing w:before="260"/>
        <w:rPr>
          <w:rFonts w:ascii="Arial" w:hAnsi="Arial" w:cs="Arial"/>
          <w:sz w:val="22"/>
          <w:szCs w:val="22"/>
        </w:rPr>
      </w:pPr>
      <w:r>
        <w:rPr>
          <w:rFonts w:ascii="Arial" w:hAnsi="Arial" w:cs="Arial"/>
          <w:sz w:val="22"/>
          <w:szCs w:val="22"/>
        </w:rPr>
        <w:t>Premesso che l'organo di revisione ha:</w:t>
      </w:r>
    </w:p>
    <w:p>
      <w:pPr>
        <w:pStyle w:val="sottocpv1"/>
        <w:widowControl/>
        <w:numPr>
          <w:ilvl w:val="0"/>
          <w:numId w:val="10"/>
        </w:numPr>
        <w:rPr>
          <w:rFonts w:ascii="Arial" w:hAnsi="Arial" w:cs="Arial"/>
          <w:sz w:val="22"/>
          <w:szCs w:val="22"/>
        </w:rPr>
      </w:pPr>
      <w:r>
        <w:rPr>
          <w:rFonts w:ascii="Arial" w:hAnsi="Arial" w:cs="Arial"/>
          <w:sz w:val="22"/>
          <w:szCs w:val="22"/>
        </w:rPr>
        <w:t>esaminato la proposta di bilancio di previsione 2018-2020, unitamente agli allegati di legge;</w:t>
      </w:r>
    </w:p>
    <w:p>
      <w:pPr>
        <w:pStyle w:val="sottocpv1"/>
        <w:widowControl/>
        <w:numPr>
          <w:ilvl w:val="0"/>
          <w:numId w:val="10"/>
        </w:numPr>
        <w:rPr>
          <w:rFonts w:ascii="Arial" w:hAnsi="Arial" w:cs="Arial"/>
          <w:sz w:val="22"/>
          <w:szCs w:val="22"/>
        </w:rPr>
      </w:pPr>
      <w:r>
        <w:rPr>
          <w:rFonts w:ascii="Arial" w:hAnsi="Arial" w:cs="Arial"/>
          <w:sz w:val="22"/>
          <w:szCs w:val="22"/>
        </w:rPr>
        <w:t>visto il D. Lgs. 18 agosto 2000, n. 267 «Testo unico delle leggi sull'ordinamento degli enti locali» (</w:t>
      </w:r>
      <w:hyperlink r:id="rId8" w:history="1">
        <w:r>
          <w:rPr>
            <w:rFonts w:ascii="Arial" w:hAnsi="Arial" w:cs="Arial"/>
            <w:sz w:val="22"/>
            <w:szCs w:val="22"/>
          </w:rPr>
          <w:t>TUEL</w:t>
        </w:r>
      </w:hyperlink>
      <w:r>
        <w:rPr>
          <w:rFonts w:ascii="Arial" w:hAnsi="Arial" w:cs="Arial"/>
          <w:sz w:val="22"/>
          <w:szCs w:val="22"/>
        </w:rPr>
        <w:t>);</w:t>
      </w:r>
    </w:p>
    <w:p>
      <w:pPr>
        <w:pStyle w:val="sottocpv1"/>
        <w:widowControl/>
        <w:numPr>
          <w:ilvl w:val="0"/>
          <w:numId w:val="10"/>
        </w:numPr>
        <w:rPr>
          <w:rFonts w:ascii="Arial" w:hAnsi="Arial" w:cs="Arial"/>
          <w:sz w:val="22"/>
          <w:szCs w:val="22"/>
        </w:rPr>
      </w:pPr>
      <w:r>
        <w:rPr>
          <w:rFonts w:ascii="Arial" w:hAnsi="Arial" w:cs="Arial"/>
          <w:sz w:val="22"/>
          <w:szCs w:val="22"/>
        </w:rPr>
        <w:t>visto il D. Lgs. 118/2011 e la versione aggiornata dei principi contabili generali ed applicati pubblicati sul sito ARCONET- Armonizzazione contabile enti territoriali;</w:t>
      </w:r>
    </w:p>
    <w:p>
      <w:pPr>
        <w:pStyle w:val="CPVC"/>
        <w:widowControl/>
        <w:spacing w:after="0"/>
        <w:rPr>
          <w:rFonts w:ascii="Arial" w:hAnsi="Arial" w:cs="Arial"/>
          <w:b/>
          <w:sz w:val="22"/>
          <w:szCs w:val="22"/>
        </w:rPr>
      </w:pPr>
      <w:r>
        <w:rPr>
          <w:rFonts w:ascii="Arial" w:hAnsi="Arial" w:cs="Arial"/>
          <w:b/>
          <w:sz w:val="22"/>
          <w:szCs w:val="22"/>
        </w:rPr>
        <w:t>presenta</w:t>
      </w:r>
    </w:p>
    <w:p>
      <w:pPr>
        <w:pStyle w:val="cpv"/>
        <w:widowControl/>
        <w:spacing w:before="260"/>
        <w:rPr>
          <w:rFonts w:ascii="Arial" w:hAnsi="Arial" w:cs="Arial"/>
          <w:sz w:val="22"/>
          <w:szCs w:val="22"/>
        </w:rPr>
      </w:pPr>
      <w:r>
        <w:rPr>
          <w:rFonts w:ascii="Arial" w:hAnsi="Arial" w:cs="Arial"/>
          <w:sz w:val="22"/>
          <w:szCs w:val="22"/>
        </w:rPr>
        <w:t xml:space="preserve">l'allegata relazione quale parere sulla proposta di bilancio di previsione per gli esercizi 2018-2020, del Comune di </w:t>
      </w:r>
      <w:r>
        <w:rPr>
          <w:rFonts w:ascii="Arial" w:hAnsi="Arial" w:cs="Arial"/>
          <w:b/>
          <w:sz w:val="22"/>
          <w:szCs w:val="22"/>
        </w:rPr>
        <w:t>LAGNASCO</w:t>
      </w:r>
      <w:r>
        <w:rPr>
          <w:rFonts w:ascii="Arial" w:hAnsi="Arial" w:cs="Arial"/>
          <w:sz w:val="22"/>
          <w:szCs w:val="22"/>
        </w:rPr>
        <w:t xml:space="preserve"> che forma parte integrante e sostanziale del presente verbale.</w:t>
      </w:r>
    </w:p>
    <w:p>
      <w:pPr>
        <w:pStyle w:val="cpv"/>
        <w:widowControl/>
        <w:spacing w:before="260"/>
        <w:rPr>
          <w:rFonts w:ascii="Arial" w:hAnsi="Arial" w:cs="Arial"/>
          <w:sz w:val="22"/>
          <w:szCs w:val="22"/>
        </w:rPr>
      </w:pPr>
    </w:p>
    <w:p>
      <w:pPr>
        <w:pStyle w:val="cpv"/>
        <w:widowControl/>
        <w:spacing w:before="260"/>
        <w:rPr>
          <w:rFonts w:ascii="Arial" w:hAnsi="Arial" w:cs="Arial"/>
          <w:sz w:val="22"/>
          <w:szCs w:val="22"/>
        </w:rPr>
      </w:pPr>
      <w:r>
        <w:rPr>
          <w:rFonts w:ascii="Arial" w:hAnsi="Arial" w:cs="Arial"/>
          <w:sz w:val="22"/>
          <w:szCs w:val="22"/>
        </w:rPr>
        <w:t xml:space="preserve">Vernante lì 19 febbraio 2018  </w:t>
      </w:r>
      <w:r>
        <w:rPr>
          <w:rFonts w:ascii="Arial" w:hAnsi="Arial" w:cs="Arial"/>
          <w:sz w:val="22"/>
          <w:szCs w:val="22"/>
        </w:rPr>
        <w:tab/>
      </w:r>
      <w:r>
        <w:rPr>
          <w:rFonts w:ascii="Arial" w:hAnsi="Arial" w:cs="Arial"/>
          <w:sz w:val="22"/>
          <w:szCs w:val="22"/>
        </w:rPr>
        <w:tab/>
      </w:r>
      <w:r>
        <w:rPr>
          <w:rFonts w:ascii="Arial" w:hAnsi="Arial" w:cs="Arial"/>
          <w:sz w:val="22"/>
          <w:szCs w:val="22"/>
        </w:rPr>
        <w:tab/>
      </w:r>
    </w:p>
    <w:p>
      <w:pPr>
        <w:pStyle w:val="cpv"/>
        <w:widowControl/>
        <w:spacing w:before="260"/>
        <w:rPr>
          <w:rFonts w:ascii="Arial" w:hAnsi="Arial" w:cs="Arial"/>
          <w:sz w:val="24"/>
        </w:rPr>
      </w:pPr>
    </w:p>
    <w:p>
      <w:pPr>
        <w:pStyle w:val="cpv"/>
        <w:widowControl/>
        <w:spacing w:before="260"/>
        <w:jc w:val="right"/>
        <w:rPr>
          <w:rFonts w:ascii="Arial" w:hAnsi="Arial" w:cs="Arial"/>
          <w:b/>
          <w:sz w:val="24"/>
        </w:rPr>
      </w:pPr>
      <w:r>
        <w:rPr>
          <w:rFonts w:ascii="Arial" w:hAnsi="Arial" w:cs="Arial"/>
          <w:b/>
          <w:sz w:val="24"/>
        </w:rPr>
        <w:t>L’ORGANO DI REVISIONE</w:t>
      </w:r>
    </w:p>
    <w:p>
      <w:pPr>
        <w:pStyle w:val="cpv"/>
        <w:widowControl/>
        <w:spacing w:before="260"/>
        <w:jc w:val="right"/>
        <w:rPr>
          <w:rFonts w:ascii="Arial" w:hAnsi="Arial" w:cs="Arial"/>
          <w:b/>
          <w:sz w:val="24"/>
        </w:rPr>
      </w:pPr>
      <w:r>
        <w:rPr>
          <w:rFonts w:ascii="Arial" w:hAnsi="Arial" w:cs="Arial"/>
          <w:b/>
          <w:sz w:val="24"/>
        </w:rPr>
        <w:t>PAPALIA DOTT. DOMENICO</w:t>
      </w:r>
    </w:p>
    <w:p>
      <w:pPr>
        <w:tabs>
          <w:tab w:val="left" w:pos="1275"/>
          <w:tab w:val="left" w:pos="1560"/>
          <w:tab w:val="left" w:leader="dot" w:pos="8789"/>
          <w:tab w:val="right" w:pos="9639"/>
        </w:tabs>
        <w:spacing w:line="360" w:lineRule="auto"/>
        <w:rPr>
          <w:rFonts w:ascii="Arial" w:hAnsi="Arial" w:cs="Arial"/>
          <w:b/>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tabs>
          <w:tab w:val="left" w:pos="1275"/>
          <w:tab w:val="left" w:pos="1560"/>
          <w:tab w:val="left" w:leader="dot" w:pos="8789"/>
          <w:tab w:val="right" w:pos="9639"/>
        </w:tabs>
        <w:spacing w:line="360" w:lineRule="auto"/>
        <w:rPr>
          <w:rFonts w:ascii="Arial" w:hAnsi="Arial" w:cs="Arial"/>
        </w:rPr>
      </w:pPr>
    </w:p>
    <w:p>
      <w:pPr>
        <w:pStyle w:val="Titolo1"/>
        <w:pBdr>
          <w:bottom w:val="single" w:sz="6" w:space="2" w:color="auto" w:shadow="1"/>
        </w:pBdr>
        <w:shd w:val="clear" w:color="auto" w:fill="B6DDE8"/>
        <w:rPr>
          <w:rStyle w:val="Titolodellibro"/>
          <w:rFonts w:cs="Arial"/>
          <w:b/>
        </w:rPr>
      </w:pPr>
      <w:bookmarkStart w:id="1" w:name="_VERIFICHE_PRELIMINARI"/>
      <w:bookmarkStart w:id="2" w:name="_Toc346838815"/>
      <w:bookmarkStart w:id="3" w:name="_Toc500328677"/>
      <w:bookmarkEnd w:id="1"/>
      <w:r>
        <w:rPr>
          <w:rStyle w:val="Titolodellibro"/>
          <w:rFonts w:cs="Arial"/>
          <w:b/>
        </w:rPr>
        <w:lastRenderedPageBreak/>
        <w:t>PREMESSA E VERIFICHE PRELIMINARI</w:t>
      </w:r>
      <w:bookmarkEnd w:id="2"/>
      <w:bookmarkEnd w:id="3"/>
    </w:p>
    <w:p>
      <w:pPr>
        <w:spacing w:after="120"/>
        <w:jc w:val="both"/>
        <w:rPr>
          <w:rFonts w:ascii="Arial" w:hAnsi="Arial" w:cs="Arial"/>
          <w:sz w:val="22"/>
          <w:szCs w:val="22"/>
        </w:rPr>
      </w:pPr>
      <w:r>
        <w:rPr>
          <w:rFonts w:ascii="Arial" w:hAnsi="Arial" w:cs="Arial"/>
          <w:sz w:val="22"/>
          <w:szCs w:val="22"/>
        </w:rPr>
        <w:t>L’organo di revisione del Comune di Lagnasco nominato con delibera consiliare n°2 del 09/03/2015</w:t>
      </w:r>
    </w:p>
    <w:p>
      <w:pPr>
        <w:spacing w:after="120"/>
        <w:jc w:val="center"/>
        <w:rPr>
          <w:rFonts w:ascii="Arial" w:hAnsi="Arial" w:cs="Arial"/>
          <w:b/>
          <w:i/>
          <w:sz w:val="22"/>
          <w:szCs w:val="22"/>
        </w:rPr>
      </w:pPr>
      <w:r>
        <w:rPr>
          <w:rFonts w:ascii="Arial" w:hAnsi="Arial" w:cs="Arial"/>
          <w:b/>
          <w:i/>
          <w:sz w:val="22"/>
          <w:szCs w:val="22"/>
        </w:rPr>
        <w:t>Premesso</w:t>
      </w:r>
    </w:p>
    <w:p>
      <w:pPr>
        <w:spacing w:after="120"/>
        <w:jc w:val="both"/>
        <w:rPr>
          <w:rFonts w:ascii="Arial" w:hAnsi="Arial" w:cs="Arial"/>
          <w:sz w:val="22"/>
          <w:szCs w:val="22"/>
        </w:rPr>
      </w:pPr>
      <w:r>
        <w:rPr>
          <w:rFonts w:ascii="Arial" w:hAnsi="Arial" w:cs="Arial"/>
          <w:sz w:val="22"/>
          <w:szCs w:val="22"/>
        </w:rPr>
        <w:t xml:space="preserve">- che l’ente deve redigere il bilancio di previsione rispettando il titolo II del D. Lgs. 267/2000 (TUEL), i principi contabili generali e applicati alla contabilità finanziaria, lo schema di bilancio di cui all’ allegato 9 al D. Lgs.118/2011. </w:t>
      </w:r>
    </w:p>
    <w:p>
      <w:pPr>
        <w:spacing w:after="120"/>
        <w:jc w:val="both"/>
        <w:rPr>
          <w:rFonts w:ascii="Arial" w:hAnsi="Arial" w:cs="Arial"/>
          <w:sz w:val="22"/>
          <w:szCs w:val="22"/>
        </w:rPr>
      </w:pPr>
      <w:r>
        <w:rPr>
          <w:rFonts w:ascii="Arial" w:hAnsi="Arial" w:cs="Arial"/>
          <w:sz w:val="22"/>
          <w:szCs w:val="22"/>
        </w:rPr>
        <w:t>- che ha ricevuto in data 09/02/2018 lo schema del bilancio di previsione per gli esercizi 2018-2020, approvato dalla giunta comunale in data 24/01/2018 con delibera n. 11, completo dei seguenti allegati obbligatori indicati:</w:t>
      </w:r>
    </w:p>
    <w:p>
      <w:pPr>
        <w:numPr>
          <w:ilvl w:val="0"/>
          <w:numId w:val="30"/>
        </w:numPr>
        <w:tabs>
          <w:tab w:val="left" w:pos="360"/>
          <w:tab w:val="left" w:pos="426"/>
        </w:tabs>
        <w:spacing w:after="120"/>
        <w:jc w:val="both"/>
        <w:rPr>
          <w:rFonts w:ascii="Arial" w:hAnsi="Arial" w:cs="Arial"/>
          <w:sz w:val="22"/>
          <w:szCs w:val="22"/>
        </w:rPr>
      </w:pPr>
      <w:r>
        <w:rPr>
          <w:rFonts w:ascii="Arial" w:hAnsi="Arial" w:cs="Arial"/>
          <w:sz w:val="22"/>
          <w:szCs w:val="22"/>
          <w:u w:val="single"/>
        </w:rPr>
        <w:t>nell’art.11, comma 3 del D. Lgs.118/2011</w:t>
      </w:r>
      <w:r>
        <w:rPr>
          <w:rFonts w:ascii="Arial" w:hAnsi="Arial" w:cs="Arial"/>
          <w:b/>
          <w:sz w:val="22"/>
          <w:szCs w:val="22"/>
        </w:rPr>
        <w:t>:</w:t>
      </w:r>
    </w:p>
    <w:p>
      <w:pPr>
        <w:tabs>
          <w:tab w:val="left" w:pos="360"/>
          <w:tab w:val="left" w:pos="426"/>
        </w:tabs>
        <w:spacing w:after="120"/>
        <w:ind w:left="360"/>
        <w:jc w:val="both"/>
        <w:rPr>
          <w:rFonts w:ascii="Arial" w:hAnsi="Arial" w:cs="Arial"/>
          <w:sz w:val="22"/>
          <w:szCs w:val="22"/>
        </w:rPr>
      </w:pPr>
      <w:r>
        <w:rPr>
          <w:rFonts w:ascii="Arial" w:hAnsi="Arial" w:cs="Arial"/>
          <w:sz w:val="22"/>
          <w:szCs w:val="22"/>
        </w:rPr>
        <w:t xml:space="preserve">- il prospetto esplicativo del presunto risultato di amministrazione dell’esercizio 2017; </w:t>
      </w:r>
    </w:p>
    <w:p>
      <w:pPr>
        <w:tabs>
          <w:tab w:val="left" w:pos="360"/>
          <w:tab w:val="left" w:pos="426"/>
        </w:tabs>
        <w:spacing w:after="120"/>
        <w:ind w:left="360"/>
        <w:jc w:val="both"/>
        <w:rPr>
          <w:rFonts w:ascii="Arial" w:hAnsi="Arial" w:cs="Arial"/>
          <w:sz w:val="22"/>
          <w:szCs w:val="22"/>
        </w:rPr>
      </w:pPr>
      <w:r>
        <w:rPr>
          <w:rFonts w:ascii="Arial" w:hAnsi="Arial" w:cs="Arial"/>
          <w:sz w:val="22"/>
          <w:szCs w:val="22"/>
        </w:rPr>
        <w:t xml:space="preserve">- il prospetto concernente la composizione del Fondo Crediti di Dubbia Esigibilità per ciascuno degli esercizi considerati nel bilancio di previsione; </w:t>
      </w:r>
    </w:p>
    <w:p>
      <w:pPr>
        <w:tabs>
          <w:tab w:val="left" w:pos="360"/>
          <w:tab w:val="left" w:pos="426"/>
        </w:tabs>
        <w:spacing w:after="120"/>
        <w:ind w:left="360"/>
        <w:jc w:val="both"/>
        <w:rPr>
          <w:rFonts w:ascii="Arial" w:hAnsi="Arial" w:cs="Arial"/>
          <w:sz w:val="22"/>
          <w:szCs w:val="22"/>
        </w:rPr>
      </w:pPr>
      <w:r>
        <w:rPr>
          <w:rFonts w:ascii="Arial" w:hAnsi="Arial" w:cs="Arial"/>
          <w:sz w:val="22"/>
          <w:szCs w:val="22"/>
        </w:rPr>
        <w:t xml:space="preserve">- il prospetto dimostrativo del rispetto dei vincoli di indebitamento; </w:t>
      </w:r>
    </w:p>
    <w:p>
      <w:pPr>
        <w:tabs>
          <w:tab w:val="left" w:pos="360"/>
          <w:tab w:val="left" w:pos="426"/>
        </w:tabs>
        <w:spacing w:after="120"/>
        <w:ind w:left="360"/>
        <w:jc w:val="both"/>
        <w:rPr>
          <w:rFonts w:ascii="Arial" w:hAnsi="Arial" w:cs="Arial"/>
          <w:sz w:val="22"/>
          <w:szCs w:val="22"/>
        </w:rPr>
      </w:pPr>
      <w:r>
        <w:rPr>
          <w:rFonts w:ascii="Arial" w:hAnsi="Arial" w:cs="Arial"/>
          <w:sz w:val="22"/>
          <w:szCs w:val="22"/>
        </w:rPr>
        <w:t>-</w:t>
      </w:r>
      <w:r>
        <w:rPr>
          <w:rFonts w:ascii="Arial" w:hAnsi="Arial" w:cs="Arial"/>
          <w:sz w:val="22"/>
          <w:szCs w:val="22"/>
        </w:rPr>
        <w:tab/>
        <w:t xml:space="preserve"> il prospetto delle spese previste per lo svolgimento delle funzioni delegate dalle regioni per ciascuno degli anni considerati nel bilancio di previsione; </w:t>
      </w:r>
    </w:p>
    <w:p>
      <w:pPr>
        <w:numPr>
          <w:ilvl w:val="0"/>
          <w:numId w:val="1"/>
        </w:numPr>
        <w:tabs>
          <w:tab w:val="left" w:pos="360"/>
          <w:tab w:val="left" w:pos="426"/>
        </w:tabs>
        <w:spacing w:after="120"/>
        <w:ind w:hanging="76"/>
        <w:jc w:val="both"/>
        <w:rPr>
          <w:rFonts w:ascii="Arial" w:hAnsi="Arial" w:cs="Arial"/>
          <w:sz w:val="22"/>
          <w:szCs w:val="22"/>
        </w:rPr>
      </w:pPr>
      <w:r>
        <w:rPr>
          <w:rFonts w:ascii="Arial" w:hAnsi="Arial" w:cs="Arial"/>
          <w:b/>
          <w:sz w:val="22"/>
          <w:szCs w:val="22"/>
        </w:rPr>
        <w:t xml:space="preserve">    </w:t>
      </w:r>
      <w:r>
        <w:rPr>
          <w:rFonts w:ascii="Arial" w:hAnsi="Arial" w:cs="Arial"/>
          <w:sz w:val="22"/>
          <w:szCs w:val="22"/>
          <w:u w:val="single"/>
        </w:rPr>
        <w:t>nell’art.172 del D.Lgs.18/8/2000 n.267</w:t>
      </w:r>
      <w:r>
        <w:rPr>
          <w:rStyle w:val="Collegamentoipertestuale"/>
          <w:rFonts w:ascii="Arial" w:hAnsi="Arial" w:cs="Arial"/>
          <w:sz w:val="22"/>
          <w:szCs w:val="22"/>
        </w:rPr>
        <w:t xml:space="preserve"> </w:t>
      </w:r>
      <w:r>
        <w:rPr>
          <w:rStyle w:val="Collegamentoipertestuale"/>
          <w:rFonts w:ascii="Arial" w:hAnsi="Arial" w:cs="Arial"/>
          <w:color w:val="auto"/>
          <w:sz w:val="22"/>
          <w:szCs w:val="22"/>
        </w:rPr>
        <w:t xml:space="preserve">e </w:t>
      </w:r>
      <w:r>
        <w:rPr>
          <w:rFonts w:ascii="Arial" w:hAnsi="Arial" w:cs="Arial"/>
          <w:sz w:val="22"/>
          <w:szCs w:val="22"/>
          <w:u w:val="single"/>
        </w:rPr>
        <w:t xml:space="preserve">punto 9.3 del </w:t>
      </w:r>
      <w:hyperlink r:id="rId9" w:history="1">
        <w:r>
          <w:rPr>
            <w:rStyle w:val="Collegamentoipertestuale"/>
            <w:rFonts w:ascii="Arial" w:hAnsi="Arial" w:cs="Arial"/>
            <w:color w:val="auto"/>
            <w:sz w:val="22"/>
            <w:szCs w:val="22"/>
          </w:rPr>
          <w:t>P.C. applicato allegato 4/1</w:t>
        </w:r>
      </w:hyperlink>
      <w:r>
        <w:rPr>
          <w:rFonts w:ascii="Arial" w:hAnsi="Arial" w:cs="Arial"/>
          <w:sz w:val="22"/>
          <w:szCs w:val="22"/>
          <w:u w:val="single"/>
        </w:rPr>
        <w:t xml:space="preserve"> al </w:t>
      </w:r>
      <w:hyperlink r:id="rId10" w:history="1">
        <w:r>
          <w:rPr>
            <w:rStyle w:val="Collegamentoipertestuale"/>
            <w:rFonts w:ascii="Arial" w:hAnsi="Arial" w:cs="Arial"/>
            <w:color w:val="auto"/>
            <w:sz w:val="22"/>
            <w:szCs w:val="22"/>
          </w:rPr>
          <w:t>D. Lgs. n.118/2011</w:t>
        </w:r>
      </w:hyperlink>
      <w:r>
        <w:rPr>
          <w:rFonts w:ascii="Arial" w:hAnsi="Arial" w:cs="Arial"/>
          <w:sz w:val="22"/>
          <w:szCs w:val="22"/>
          <w:u w:val="single"/>
        </w:rPr>
        <w:t xml:space="preserve"> lettere g) ed h)</w:t>
      </w:r>
      <w:r>
        <w:rPr>
          <w:rFonts w:ascii="Arial" w:hAnsi="Arial" w:cs="Arial"/>
          <w:sz w:val="22"/>
          <w:szCs w:val="22"/>
        </w:rPr>
        <w:t>:</w:t>
      </w:r>
    </w:p>
    <w:p>
      <w:pPr>
        <w:tabs>
          <w:tab w:val="left" w:pos="360"/>
          <w:tab w:val="left" w:pos="426"/>
        </w:tabs>
        <w:spacing w:after="120"/>
        <w:ind w:left="426" w:hanging="426"/>
        <w:jc w:val="both"/>
        <w:rPr>
          <w:rFonts w:ascii="Arial" w:hAnsi="Arial" w:cs="Arial"/>
          <w:sz w:val="22"/>
          <w:szCs w:val="22"/>
        </w:rPr>
      </w:pPr>
      <w:r>
        <w:rPr>
          <w:rFonts w:ascii="Arial" w:hAnsi="Arial" w:cs="Arial"/>
          <w:sz w:val="22"/>
          <w:szCs w:val="22"/>
        </w:rPr>
        <w:tab/>
        <w:t>- le deliberazioni con le quali sono determinati, per l'esercizio successivo, le tariffe, le aliquote d'imposta e le eventuali maggiori detrazioni, le variazioni dei limiti di reddito per i tributi locali e per i servizi locali, nonché, per i servizi a domanda individuale, i tassi di copertura in percentuale del costo di gestione dei servizi stessi ivi incluso eventuali riduzioni/esenzioni di tributi locali.</w:t>
      </w:r>
    </w:p>
    <w:p>
      <w:pPr>
        <w:tabs>
          <w:tab w:val="left" w:pos="360"/>
          <w:tab w:val="left" w:pos="426"/>
        </w:tabs>
        <w:spacing w:after="120"/>
        <w:ind w:left="426"/>
        <w:jc w:val="both"/>
        <w:rPr>
          <w:rFonts w:ascii="Arial" w:hAnsi="Arial" w:cs="Arial"/>
          <w:sz w:val="22"/>
          <w:szCs w:val="22"/>
        </w:rPr>
      </w:pPr>
      <w:r>
        <w:rPr>
          <w:rFonts w:ascii="Arial" w:hAnsi="Arial" w:cs="Arial"/>
          <w:sz w:val="22"/>
          <w:szCs w:val="22"/>
        </w:rPr>
        <w:t xml:space="preserve">- la tabella relativa ai parametri di riscontro della situazione di deficitarietà strutturale prevista dalle disposizioni vigenti in materia (D.M. 18/2/2013); </w:t>
      </w:r>
    </w:p>
    <w:p>
      <w:pPr>
        <w:tabs>
          <w:tab w:val="left" w:pos="360"/>
          <w:tab w:val="left" w:pos="426"/>
        </w:tabs>
        <w:spacing w:after="120"/>
        <w:ind w:left="567"/>
        <w:jc w:val="both"/>
        <w:rPr>
          <w:rFonts w:ascii="Arial" w:hAnsi="Arial" w:cs="Arial"/>
          <w:sz w:val="22"/>
          <w:szCs w:val="22"/>
        </w:rPr>
      </w:pPr>
      <w:r>
        <w:rPr>
          <w:rFonts w:ascii="Arial" w:hAnsi="Arial" w:cs="Arial"/>
          <w:sz w:val="22"/>
          <w:szCs w:val="22"/>
        </w:rPr>
        <w:t>- il prospetto della concordanza tra bilancio di previsione e rispetto del saldo di finanza pubblica (pareggio di bilancio);</w:t>
      </w:r>
    </w:p>
    <w:p>
      <w:pPr>
        <w:numPr>
          <w:ilvl w:val="0"/>
          <w:numId w:val="1"/>
        </w:numPr>
        <w:tabs>
          <w:tab w:val="left" w:pos="360"/>
          <w:tab w:val="left" w:pos="426"/>
        </w:tabs>
        <w:spacing w:after="120"/>
        <w:ind w:firstLine="207"/>
        <w:jc w:val="both"/>
        <w:rPr>
          <w:rFonts w:ascii="Arial" w:hAnsi="Arial" w:cs="Arial"/>
          <w:sz w:val="22"/>
          <w:szCs w:val="22"/>
        </w:rPr>
      </w:pPr>
      <w:r>
        <w:rPr>
          <w:rFonts w:ascii="Arial" w:hAnsi="Arial" w:cs="Arial"/>
          <w:sz w:val="22"/>
          <w:szCs w:val="22"/>
          <w:u w:val="single"/>
        </w:rPr>
        <w:t>necessari per l’espressione del parere</w:t>
      </w:r>
      <w:r>
        <w:rPr>
          <w:rFonts w:ascii="Arial" w:hAnsi="Arial" w:cs="Arial"/>
          <w:sz w:val="22"/>
          <w:szCs w:val="22"/>
        </w:rPr>
        <w:t>:</w:t>
      </w:r>
    </w:p>
    <w:p>
      <w:pPr>
        <w:tabs>
          <w:tab w:val="left" w:pos="786"/>
          <w:tab w:val="left" w:pos="851"/>
        </w:tabs>
        <w:spacing w:after="120"/>
        <w:ind w:left="505"/>
        <w:jc w:val="both"/>
        <w:rPr>
          <w:rFonts w:ascii="Arial" w:hAnsi="Arial" w:cs="Arial"/>
          <w:sz w:val="22"/>
          <w:szCs w:val="22"/>
        </w:rPr>
      </w:pPr>
      <w:r>
        <w:rPr>
          <w:rFonts w:ascii="Arial" w:hAnsi="Arial" w:cs="Arial"/>
          <w:sz w:val="22"/>
          <w:szCs w:val="22"/>
        </w:rPr>
        <w:t xml:space="preserve">   - il documento unico di programmazione (DUP) e la nota di aggiornamento dello stesso predisposti conformemente all’art.170 del D.Lgs.267/2000 dalla Giunta;</w:t>
      </w:r>
    </w:p>
    <w:p>
      <w:pPr>
        <w:pStyle w:val="Corpotesto"/>
        <w:spacing w:before="240"/>
        <w:rPr>
          <w:rFonts w:cs="Arial"/>
          <w:sz w:val="22"/>
          <w:szCs w:val="22"/>
        </w:rPr>
      </w:pPr>
      <w:r>
        <w:rPr>
          <w:rFonts w:cs="Arial"/>
          <w:sz w:val="22"/>
          <w:szCs w:val="22"/>
        </w:rPr>
        <w:t xml:space="preserve">  e i seguenti </w:t>
      </w:r>
      <w:r>
        <w:rPr>
          <w:rFonts w:cs="Arial"/>
          <w:sz w:val="22"/>
          <w:szCs w:val="22"/>
          <w:u w:val="single"/>
        </w:rPr>
        <w:t>documenti</w:t>
      </w:r>
      <w:r>
        <w:rPr>
          <w:rFonts w:cs="Arial"/>
          <w:sz w:val="22"/>
          <w:szCs w:val="22"/>
        </w:rPr>
        <w:t xml:space="preserve"> messi a disposizione:</w:t>
      </w:r>
    </w:p>
    <w:p>
      <w:pPr>
        <w:numPr>
          <w:ilvl w:val="0"/>
          <w:numId w:val="2"/>
        </w:numPr>
        <w:spacing w:after="120"/>
        <w:jc w:val="both"/>
        <w:rPr>
          <w:rFonts w:ascii="Arial" w:hAnsi="Arial" w:cs="Arial"/>
          <w:sz w:val="22"/>
          <w:szCs w:val="22"/>
        </w:rPr>
      </w:pPr>
      <w:r>
        <w:rPr>
          <w:rFonts w:ascii="Arial" w:hAnsi="Arial" w:cs="Arial"/>
          <w:sz w:val="22"/>
          <w:szCs w:val="22"/>
        </w:rPr>
        <w:t>i documenti e prospetti previsti dallo statuto e dal regolamento di contabilità;</w:t>
      </w:r>
    </w:p>
    <w:p>
      <w:pPr>
        <w:numPr>
          <w:ilvl w:val="0"/>
          <w:numId w:val="2"/>
        </w:numPr>
        <w:spacing w:after="120"/>
        <w:jc w:val="both"/>
        <w:rPr>
          <w:rFonts w:ascii="Arial" w:hAnsi="Arial" w:cs="Arial"/>
          <w:sz w:val="22"/>
          <w:szCs w:val="22"/>
        </w:rPr>
      </w:pPr>
      <w:r>
        <w:rPr>
          <w:rFonts w:ascii="Arial" w:hAnsi="Arial" w:cs="Arial"/>
          <w:sz w:val="22"/>
          <w:szCs w:val="22"/>
        </w:rPr>
        <w:t>prospetto analitico delle spese di personale previste in bilancio come individuate dal comma 557 dell’art.1 della Legge 296/2006;</w:t>
      </w:r>
    </w:p>
    <w:p>
      <w:pPr>
        <w:tabs>
          <w:tab w:val="left" w:pos="360"/>
          <w:tab w:val="left" w:pos="426"/>
        </w:tabs>
        <w:spacing w:after="120"/>
        <w:jc w:val="both"/>
        <w:rPr>
          <w:rFonts w:ascii="Arial" w:hAnsi="Arial" w:cs="Arial"/>
          <w:sz w:val="22"/>
          <w:szCs w:val="22"/>
        </w:rPr>
      </w:pPr>
      <w:r>
        <w:rPr>
          <w:rFonts w:ascii="Arial" w:hAnsi="Arial" w:cs="Arial"/>
          <w:sz w:val="22"/>
          <w:szCs w:val="22"/>
        </w:rPr>
        <w:t xml:space="preserve">Viste le disposizioni di Legge che regolano la finanza locale, in particolare il </w:t>
      </w:r>
      <w:hyperlink r:id="rId11" w:history="1">
        <w:r>
          <w:rPr>
            <w:rFonts w:ascii="Arial" w:hAnsi="Arial" w:cs="Arial"/>
            <w:sz w:val="22"/>
            <w:szCs w:val="22"/>
          </w:rPr>
          <w:t>TUEL</w:t>
        </w:r>
      </w:hyperlink>
      <w:r>
        <w:rPr>
          <w:rFonts w:ascii="Arial" w:hAnsi="Arial" w:cs="Arial"/>
          <w:sz w:val="22"/>
          <w:szCs w:val="22"/>
        </w:rPr>
        <w:t>;</w:t>
      </w:r>
    </w:p>
    <w:p>
      <w:pPr>
        <w:tabs>
          <w:tab w:val="left" w:pos="360"/>
          <w:tab w:val="left" w:pos="426"/>
        </w:tabs>
        <w:spacing w:after="120"/>
        <w:jc w:val="both"/>
        <w:rPr>
          <w:rFonts w:ascii="Arial" w:hAnsi="Arial" w:cs="Arial"/>
          <w:sz w:val="22"/>
          <w:szCs w:val="22"/>
        </w:rPr>
      </w:pPr>
      <w:r>
        <w:rPr>
          <w:rFonts w:ascii="Arial" w:hAnsi="Arial" w:cs="Arial"/>
          <w:sz w:val="22"/>
          <w:szCs w:val="22"/>
        </w:rPr>
        <w:t>Visto lo statuto dell’ente, con particolare riferimento alle funzioni attribuite all’organo di revisione;</w:t>
      </w:r>
    </w:p>
    <w:p>
      <w:pPr>
        <w:tabs>
          <w:tab w:val="left" w:pos="360"/>
          <w:tab w:val="left" w:pos="426"/>
        </w:tabs>
        <w:spacing w:after="120"/>
        <w:jc w:val="both"/>
        <w:rPr>
          <w:rFonts w:ascii="Arial" w:hAnsi="Arial" w:cs="Arial"/>
          <w:sz w:val="22"/>
          <w:szCs w:val="22"/>
        </w:rPr>
      </w:pPr>
      <w:r>
        <w:rPr>
          <w:rFonts w:ascii="Arial" w:hAnsi="Arial" w:cs="Arial"/>
          <w:sz w:val="22"/>
          <w:szCs w:val="22"/>
        </w:rPr>
        <w:t>Visto lo Statuto ed il regolamento di contabilità;</w:t>
      </w:r>
    </w:p>
    <w:p>
      <w:pPr>
        <w:tabs>
          <w:tab w:val="left" w:pos="360"/>
          <w:tab w:val="left" w:pos="426"/>
        </w:tabs>
        <w:spacing w:after="120"/>
        <w:jc w:val="both"/>
        <w:rPr>
          <w:rFonts w:ascii="Arial" w:hAnsi="Arial" w:cs="Arial"/>
          <w:sz w:val="22"/>
          <w:szCs w:val="22"/>
        </w:rPr>
      </w:pPr>
      <w:r>
        <w:rPr>
          <w:rFonts w:ascii="Arial" w:hAnsi="Arial" w:cs="Arial"/>
          <w:sz w:val="22"/>
          <w:szCs w:val="22"/>
        </w:rPr>
        <w:t>Visti i regolamenti relativi ai tributi comunali;</w:t>
      </w:r>
    </w:p>
    <w:p>
      <w:pPr>
        <w:tabs>
          <w:tab w:val="left" w:pos="360"/>
          <w:tab w:val="left" w:pos="426"/>
        </w:tabs>
        <w:spacing w:after="120"/>
        <w:jc w:val="both"/>
        <w:rPr>
          <w:rFonts w:ascii="Arial" w:hAnsi="Arial" w:cs="Arial"/>
          <w:sz w:val="22"/>
          <w:szCs w:val="22"/>
        </w:rPr>
      </w:pPr>
      <w:r>
        <w:rPr>
          <w:rFonts w:ascii="Arial" w:hAnsi="Arial" w:cs="Arial"/>
          <w:sz w:val="22"/>
          <w:szCs w:val="22"/>
        </w:rPr>
        <w:t>Visto il parere espresso dal responsabile del servizio finanziario, ai sensi dell’art.153, comma 4 del D. Lgs. 267/2000, in merito alla veridicità delle previsioni di entrata e di compatibilità delle previsioni di spesa, avanzate dai vari servizi, iscritte nel bilancio di previsione 2018/2020;</w:t>
      </w:r>
    </w:p>
    <w:p>
      <w:pPr>
        <w:tabs>
          <w:tab w:val="left" w:pos="360"/>
          <w:tab w:val="left" w:pos="426"/>
        </w:tabs>
        <w:spacing w:after="120"/>
        <w:jc w:val="both"/>
        <w:rPr>
          <w:rFonts w:ascii="Arial" w:hAnsi="Arial" w:cs="Arial"/>
          <w:sz w:val="22"/>
          <w:szCs w:val="22"/>
        </w:rPr>
      </w:pPr>
      <w:r>
        <w:rPr>
          <w:rFonts w:ascii="Arial" w:hAnsi="Arial" w:cs="Arial"/>
          <w:sz w:val="22"/>
          <w:szCs w:val="22"/>
        </w:rPr>
        <w:lastRenderedPageBreak/>
        <w:t>ha</w:t>
      </w:r>
      <w:r>
        <w:rPr>
          <w:rFonts w:ascii="Arial" w:hAnsi="Arial" w:cs="Arial"/>
          <w:b/>
          <w:i/>
          <w:sz w:val="22"/>
          <w:szCs w:val="22"/>
        </w:rPr>
        <w:t xml:space="preserve"> </w:t>
      </w:r>
      <w:r>
        <w:rPr>
          <w:rFonts w:ascii="Arial" w:hAnsi="Arial" w:cs="Arial"/>
          <w:sz w:val="22"/>
          <w:szCs w:val="22"/>
        </w:rPr>
        <w:t>effettuato le seguenti verifiche al fine di esprimere un motivato giudizio di coerenza, attendibilità e congruità contabile delle previsioni di bilancio e dei programmi e progetti, come richiesto dall’art. 239, comma 1, lettera b) del TUEL.</w:t>
      </w:r>
    </w:p>
    <w:p>
      <w:pPr>
        <w:tabs>
          <w:tab w:val="left" w:pos="360"/>
          <w:tab w:val="left" w:pos="426"/>
        </w:tabs>
        <w:spacing w:after="120"/>
        <w:jc w:val="both"/>
        <w:rPr>
          <w:rFonts w:ascii="Arial" w:hAnsi="Arial" w:cs="Arial"/>
        </w:rPr>
      </w:pPr>
    </w:p>
    <w:p>
      <w:pPr>
        <w:pStyle w:val="Titolo1"/>
        <w:shd w:val="clear" w:color="auto" w:fill="B6DDE8"/>
      </w:pPr>
      <w:bookmarkStart w:id="4" w:name="_Toc500328678"/>
      <w:r>
        <w:t>ACCERTAMENTI PRELIMINARI</w:t>
      </w:r>
      <w:bookmarkEnd w:id="4"/>
    </w:p>
    <w:p>
      <w:pPr>
        <w:spacing w:before="120"/>
        <w:jc w:val="both"/>
        <w:rPr>
          <w:rFonts w:ascii="Arial" w:hAnsi="Arial" w:cs="Arial"/>
          <w:sz w:val="22"/>
          <w:szCs w:val="22"/>
        </w:rPr>
      </w:pPr>
      <w:r>
        <w:rPr>
          <w:rFonts w:ascii="Arial" w:hAnsi="Arial" w:cs="Arial"/>
          <w:sz w:val="22"/>
          <w:szCs w:val="22"/>
        </w:rPr>
        <w:t xml:space="preserve">L’Ente entro il 30 novembre 2017 </w:t>
      </w:r>
      <w:r>
        <w:rPr>
          <w:rFonts w:ascii="Arial" w:hAnsi="Arial" w:cs="Arial"/>
          <w:b/>
          <w:i/>
          <w:sz w:val="22"/>
          <w:szCs w:val="22"/>
        </w:rPr>
        <w:t>ha</w:t>
      </w:r>
      <w:r>
        <w:rPr>
          <w:rFonts w:ascii="Arial" w:hAnsi="Arial" w:cs="Arial"/>
          <w:sz w:val="22"/>
          <w:szCs w:val="22"/>
        </w:rPr>
        <w:t xml:space="preserve"> aggiornato gli stanziamenti 2017 del bilancio di previsione 2017/2019.</w:t>
      </w:r>
    </w:p>
    <w:p>
      <w:pPr>
        <w:spacing w:before="120"/>
        <w:jc w:val="both"/>
        <w:rPr>
          <w:rFonts w:ascii="Arial" w:hAnsi="Arial" w:cs="Arial"/>
          <w:sz w:val="22"/>
          <w:szCs w:val="22"/>
        </w:rPr>
      </w:pPr>
    </w:p>
    <w:p>
      <w:pPr>
        <w:pStyle w:val="PreformattatoHTML"/>
        <w:jc w:val="both"/>
        <w:rPr>
          <w:rFonts w:ascii="Arial" w:hAnsi="Arial" w:cs="Arial"/>
          <w:sz w:val="22"/>
          <w:szCs w:val="22"/>
        </w:rPr>
      </w:pPr>
    </w:p>
    <w:p>
      <w:pPr>
        <w:pStyle w:val="Titolo1"/>
        <w:shd w:val="clear" w:color="auto" w:fill="B6DDE8"/>
        <w:tabs>
          <w:tab w:val="left" w:pos="610"/>
          <w:tab w:val="left" w:pos="2320"/>
          <w:tab w:val="center" w:pos="4864"/>
        </w:tabs>
        <w:jc w:val="left"/>
      </w:pPr>
      <w:r>
        <w:tab/>
      </w:r>
      <w:r>
        <w:tab/>
      </w:r>
      <w:r>
        <w:tab/>
        <w:t xml:space="preserve">    </w:t>
      </w:r>
      <w:bookmarkStart w:id="5" w:name="_Toc346838816"/>
      <w:bookmarkStart w:id="6" w:name="_Toc500328679"/>
      <w:r>
        <w:t>VERIFICHE DEGLI EQUILIBRI</w:t>
      </w:r>
      <w:bookmarkEnd w:id="5"/>
      <w:bookmarkEnd w:id="6"/>
    </w:p>
    <w:p>
      <w:pPr>
        <w:pStyle w:val="Titolo2"/>
        <w:jc w:val="left"/>
      </w:pPr>
      <w:bookmarkStart w:id="7" w:name="_GESTIONE_DELL’ESERCIZIO_2008"/>
      <w:bookmarkStart w:id="8" w:name="_Toc346838817"/>
      <w:bookmarkStart w:id="9" w:name="_Toc500328680"/>
      <w:bookmarkEnd w:id="7"/>
      <w:r>
        <w:t xml:space="preserve">GESTIONE DELL’ESERCIZIO </w:t>
      </w:r>
      <w:bookmarkEnd w:id="8"/>
      <w:r>
        <w:t>2017</w:t>
      </w:r>
      <w:bookmarkEnd w:id="9"/>
    </w:p>
    <w:p>
      <w:pPr>
        <w:rPr>
          <w:rFonts w:ascii="Arial" w:hAnsi="Arial" w:cs="Arial"/>
        </w:rPr>
      </w:pPr>
    </w:p>
    <w:p>
      <w:pPr>
        <w:spacing w:before="120"/>
        <w:jc w:val="both"/>
        <w:rPr>
          <w:rFonts w:ascii="Arial" w:hAnsi="Arial" w:cs="Arial"/>
          <w:sz w:val="22"/>
          <w:szCs w:val="22"/>
        </w:rPr>
      </w:pPr>
      <w:r>
        <w:rPr>
          <w:rFonts w:ascii="Arial" w:hAnsi="Arial" w:cs="Arial"/>
          <w:sz w:val="22"/>
          <w:szCs w:val="22"/>
        </w:rPr>
        <w:t>L’organo consiliare ha approvato con delibera n.</w:t>
      </w:r>
      <w:r>
        <w:rPr>
          <w:rFonts w:ascii="Arial" w:hAnsi="Arial" w:cs="Arial"/>
          <w:b/>
          <w:sz w:val="22"/>
          <w:szCs w:val="22"/>
        </w:rPr>
        <w:t xml:space="preserve">17 </w:t>
      </w:r>
      <w:r>
        <w:rPr>
          <w:rFonts w:ascii="Arial" w:hAnsi="Arial" w:cs="Arial"/>
          <w:sz w:val="22"/>
          <w:szCs w:val="22"/>
        </w:rPr>
        <w:t xml:space="preserve">del </w:t>
      </w:r>
      <w:r>
        <w:rPr>
          <w:rFonts w:ascii="Arial" w:hAnsi="Arial" w:cs="Arial"/>
          <w:b/>
          <w:sz w:val="22"/>
          <w:szCs w:val="22"/>
        </w:rPr>
        <w:t>26/04/2017</w:t>
      </w:r>
      <w:r>
        <w:rPr>
          <w:rFonts w:ascii="Arial" w:hAnsi="Arial" w:cs="Arial"/>
          <w:sz w:val="22"/>
          <w:szCs w:val="22"/>
        </w:rPr>
        <w:t xml:space="preserve"> la proposta di rendiconto per l’esercizio 2016.</w:t>
      </w:r>
    </w:p>
    <w:p>
      <w:pPr>
        <w:spacing w:before="120" w:line="240" w:lineRule="exact"/>
        <w:jc w:val="both"/>
        <w:rPr>
          <w:rFonts w:ascii="Arial" w:hAnsi="Arial" w:cs="Arial"/>
          <w:sz w:val="22"/>
          <w:szCs w:val="22"/>
        </w:rPr>
      </w:pPr>
      <w:r>
        <w:rPr>
          <w:rFonts w:ascii="Arial" w:hAnsi="Arial" w:cs="Arial"/>
          <w:sz w:val="22"/>
          <w:szCs w:val="22"/>
        </w:rPr>
        <w:t>Da tale rendiconto, come indicato nella relazione dell’organo di revisione formulata con verbale n.</w:t>
      </w:r>
      <w:r>
        <w:rPr>
          <w:rFonts w:ascii="Arial" w:hAnsi="Arial" w:cs="Arial"/>
          <w:b/>
          <w:sz w:val="22"/>
          <w:szCs w:val="22"/>
        </w:rPr>
        <w:t>5</w:t>
      </w:r>
      <w:r>
        <w:rPr>
          <w:rFonts w:ascii="Arial" w:hAnsi="Arial" w:cs="Arial"/>
          <w:sz w:val="22"/>
          <w:szCs w:val="22"/>
        </w:rPr>
        <w:t xml:space="preserve"> in data </w:t>
      </w:r>
      <w:r>
        <w:rPr>
          <w:rFonts w:ascii="Arial" w:hAnsi="Arial" w:cs="Arial"/>
          <w:b/>
          <w:sz w:val="22"/>
          <w:szCs w:val="22"/>
        </w:rPr>
        <w:t>21/04/2017</w:t>
      </w:r>
      <w:r>
        <w:rPr>
          <w:rFonts w:ascii="Arial" w:hAnsi="Arial" w:cs="Arial"/>
          <w:sz w:val="22"/>
          <w:szCs w:val="22"/>
        </w:rPr>
        <w:t xml:space="preserve"> risulta che:</w:t>
      </w:r>
    </w:p>
    <w:p>
      <w:pPr>
        <w:numPr>
          <w:ilvl w:val="0"/>
          <w:numId w:val="8"/>
        </w:numPr>
        <w:spacing w:before="120" w:line="240" w:lineRule="exact"/>
        <w:jc w:val="both"/>
        <w:rPr>
          <w:rFonts w:ascii="Arial" w:hAnsi="Arial" w:cs="Arial"/>
          <w:sz w:val="22"/>
          <w:szCs w:val="22"/>
        </w:rPr>
      </w:pPr>
      <w:r>
        <w:rPr>
          <w:rFonts w:ascii="Arial" w:hAnsi="Arial" w:cs="Arial"/>
          <w:sz w:val="22"/>
          <w:szCs w:val="22"/>
        </w:rPr>
        <w:t>sono salvaguardati gli equilibri di bilancio;</w:t>
      </w:r>
    </w:p>
    <w:p>
      <w:pPr>
        <w:numPr>
          <w:ilvl w:val="0"/>
          <w:numId w:val="8"/>
        </w:numPr>
        <w:spacing w:before="120" w:line="240" w:lineRule="exact"/>
        <w:jc w:val="both"/>
        <w:rPr>
          <w:rFonts w:ascii="Arial" w:hAnsi="Arial" w:cs="Arial"/>
          <w:sz w:val="22"/>
          <w:szCs w:val="22"/>
        </w:rPr>
      </w:pPr>
      <w:r>
        <w:rPr>
          <w:rFonts w:ascii="Arial" w:hAnsi="Arial" w:cs="Arial"/>
          <w:sz w:val="22"/>
          <w:szCs w:val="22"/>
        </w:rPr>
        <w:t>non risultano debiti fuori bilancio o passività probabili da finanziare;</w:t>
      </w:r>
    </w:p>
    <w:p>
      <w:pPr>
        <w:numPr>
          <w:ilvl w:val="0"/>
          <w:numId w:val="8"/>
        </w:numPr>
        <w:spacing w:before="120" w:line="240" w:lineRule="exact"/>
        <w:jc w:val="both"/>
        <w:rPr>
          <w:rFonts w:ascii="Arial" w:hAnsi="Arial" w:cs="Arial"/>
          <w:sz w:val="22"/>
          <w:szCs w:val="22"/>
        </w:rPr>
      </w:pPr>
      <w:r>
        <w:rPr>
          <w:rFonts w:ascii="Arial" w:hAnsi="Arial" w:cs="Arial"/>
          <w:sz w:val="22"/>
          <w:szCs w:val="22"/>
        </w:rPr>
        <w:t xml:space="preserve">è stato rispettato l’obiettivo del pareggio di bilancio; </w:t>
      </w:r>
    </w:p>
    <w:p>
      <w:pPr>
        <w:numPr>
          <w:ilvl w:val="0"/>
          <w:numId w:val="8"/>
        </w:numPr>
        <w:spacing w:before="120" w:line="240" w:lineRule="exact"/>
        <w:jc w:val="both"/>
        <w:rPr>
          <w:rFonts w:ascii="Arial" w:hAnsi="Arial" w:cs="Arial"/>
          <w:sz w:val="22"/>
          <w:szCs w:val="22"/>
        </w:rPr>
      </w:pPr>
      <w:r>
        <w:rPr>
          <w:rFonts w:ascii="Arial" w:hAnsi="Arial" w:cs="Arial"/>
          <w:sz w:val="22"/>
          <w:szCs w:val="22"/>
        </w:rPr>
        <w:t>sono state rispettate le disposizioni sul contenimento delle spese di personale;</w:t>
      </w:r>
    </w:p>
    <w:p>
      <w:pPr>
        <w:numPr>
          <w:ilvl w:val="0"/>
          <w:numId w:val="8"/>
        </w:numPr>
        <w:spacing w:before="120" w:line="240" w:lineRule="exact"/>
        <w:jc w:val="both"/>
        <w:rPr>
          <w:rFonts w:ascii="Arial" w:hAnsi="Arial" w:cs="Arial"/>
          <w:sz w:val="22"/>
          <w:szCs w:val="22"/>
        </w:rPr>
      </w:pPr>
      <w:r>
        <w:rPr>
          <w:rFonts w:ascii="Arial" w:hAnsi="Arial" w:cs="Arial"/>
          <w:sz w:val="22"/>
          <w:szCs w:val="22"/>
        </w:rPr>
        <w:t>non sono richiesti finanziamenti straordinari agli organismi partecipati.</w:t>
      </w:r>
    </w:p>
    <w:p>
      <w:pPr>
        <w:spacing w:before="120" w:after="60"/>
        <w:jc w:val="both"/>
        <w:rPr>
          <w:rFonts w:ascii="Arial" w:hAnsi="Arial" w:cs="Arial"/>
          <w:sz w:val="22"/>
          <w:szCs w:val="22"/>
        </w:rPr>
      </w:pPr>
    </w:p>
    <w:p>
      <w:pPr>
        <w:spacing w:before="120" w:after="60"/>
        <w:jc w:val="both"/>
        <w:rPr>
          <w:rFonts w:ascii="Arial" w:hAnsi="Arial" w:cs="Arial"/>
          <w:sz w:val="22"/>
          <w:szCs w:val="22"/>
        </w:rPr>
      </w:pPr>
      <w:r>
        <w:rPr>
          <w:rFonts w:ascii="Arial" w:hAnsi="Arial" w:cs="Arial"/>
          <w:sz w:val="22"/>
          <w:szCs w:val="22"/>
        </w:rPr>
        <w:t>La gestione dell’anno 2016 si è chiusa con un risultato di amministrazione al 31/12/2016 così distinto ai sensi dell’art.187 del TUEL:</w:t>
      </w:r>
    </w:p>
    <w:p>
      <w:pPr>
        <w:spacing w:before="120" w:after="60"/>
        <w:ind w:left="142"/>
        <w:jc w:val="center"/>
        <w:rPr>
          <w:rFonts w:ascii="Arial" w:hAnsi="Arial" w:cs="Arial"/>
          <w:sz w:val="22"/>
          <w:szCs w:val="22"/>
        </w:rPr>
      </w:pPr>
      <w:r>
        <w:rPr>
          <w:rFonts w:ascii="Arial" w:hAnsi="Arial" w:cs="Arial"/>
        </w:rPr>
        <w:object w:dxaOrig="6578" w:dyaOrig="2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115.5pt" o:ole="">
            <v:imagedata r:id="rId12" o:title=""/>
          </v:shape>
          <o:OLEObject Type="Embed" ProgID="Excel.Sheet.12" ShapeID="_x0000_i1025" DrawAspect="Content" ObjectID="_1580719617" r:id="rId13"/>
        </w:object>
      </w:r>
    </w:p>
    <w:p>
      <w:pPr>
        <w:rPr>
          <w:rFonts w:ascii="Arial" w:hAnsi="Arial" w:cs="Arial"/>
          <w:sz w:val="22"/>
          <w:szCs w:val="22"/>
        </w:rPr>
      </w:pPr>
      <w:bookmarkStart w:id="10" w:name="_MON_1513700775"/>
      <w:bookmarkEnd w:id="10"/>
    </w:p>
    <w:p>
      <w:pPr>
        <w:tabs>
          <w:tab w:val="num" w:pos="1260"/>
        </w:tabs>
        <w:rPr>
          <w:rFonts w:ascii="Arial" w:hAnsi="Arial" w:cs="Arial"/>
          <w:sz w:val="22"/>
          <w:szCs w:val="22"/>
        </w:rPr>
      </w:pPr>
      <w:r>
        <w:rPr>
          <w:rFonts w:ascii="Arial" w:hAnsi="Arial" w:cs="Arial"/>
          <w:sz w:val="22"/>
          <w:szCs w:val="22"/>
        </w:rPr>
        <w:t xml:space="preserve">La </w:t>
      </w:r>
      <w:r>
        <w:rPr>
          <w:rFonts w:ascii="Arial" w:hAnsi="Arial" w:cs="Arial"/>
          <w:bCs/>
          <w:sz w:val="22"/>
          <w:szCs w:val="22"/>
        </w:rPr>
        <w:t>situazione di cassa</w:t>
      </w:r>
      <w:r>
        <w:rPr>
          <w:rFonts w:ascii="Arial" w:hAnsi="Arial" w:cs="Arial"/>
          <w:sz w:val="22"/>
          <w:szCs w:val="22"/>
        </w:rPr>
        <w:t xml:space="preserve"> dell´ Ente al 31 dicembre degli ultimi tre esercizi presenta i seguenti risultati: </w:t>
      </w:r>
    </w:p>
    <w:p>
      <w:pPr>
        <w:tabs>
          <w:tab w:val="num" w:pos="1260"/>
        </w:tabs>
        <w:rPr>
          <w:rFonts w:ascii="Arial" w:hAnsi="Arial" w:cs="Arial"/>
          <w:sz w:val="22"/>
          <w:szCs w:val="22"/>
        </w:rPr>
      </w:pPr>
    </w:p>
    <w:tbl>
      <w:tblPr>
        <w:tblW w:w="5000" w:type="pct"/>
        <w:jc w:val="center"/>
        <w:tblCellMar>
          <w:left w:w="70" w:type="dxa"/>
          <w:right w:w="70" w:type="dxa"/>
        </w:tblCellMar>
        <w:tblLook w:val="00A0" w:firstRow="1" w:lastRow="0" w:firstColumn="1" w:lastColumn="0" w:noHBand="0" w:noVBand="0"/>
      </w:tblPr>
      <w:tblGrid>
        <w:gridCol w:w="5443"/>
        <w:gridCol w:w="1682"/>
        <w:gridCol w:w="1398"/>
        <w:gridCol w:w="1255"/>
      </w:tblGrid>
      <w:tr>
        <w:trPr>
          <w:trHeight w:val="255"/>
          <w:jc w:val="center"/>
        </w:trPr>
        <w:tc>
          <w:tcPr>
            <w:tcW w:w="2783" w:type="pct"/>
            <w:tcBorders>
              <w:top w:val="nil"/>
              <w:left w:val="nil"/>
              <w:bottom w:val="nil"/>
              <w:right w:val="single" w:sz="4" w:space="0" w:color="auto"/>
            </w:tcBorders>
            <w:noWrap/>
            <w:vAlign w:val="bottom"/>
          </w:tcPr>
          <w:p>
            <w:pPr>
              <w:jc w:val="right"/>
              <w:rPr>
                <w:rFonts w:ascii="Arial" w:hAnsi="Arial" w:cs="Arial"/>
                <w:sz w:val="16"/>
                <w:szCs w:val="16"/>
              </w:rPr>
            </w:pPr>
          </w:p>
        </w:tc>
        <w:tc>
          <w:tcPr>
            <w:tcW w:w="860" w:type="pct"/>
            <w:tcBorders>
              <w:top w:val="single" w:sz="4" w:space="0" w:color="auto"/>
              <w:left w:val="nil"/>
              <w:bottom w:val="single" w:sz="4" w:space="0" w:color="auto"/>
              <w:right w:val="single" w:sz="4" w:space="0" w:color="auto"/>
            </w:tcBorders>
            <w:noWrap/>
            <w:vAlign w:val="bottom"/>
          </w:tcPr>
          <w:p>
            <w:pPr>
              <w:jc w:val="center"/>
              <w:rPr>
                <w:rFonts w:ascii="Arial" w:hAnsi="Arial" w:cs="Arial"/>
                <w:b/>
                <w:bCs/>
                <w:sz w:val="20"/>
                <w:szCs w:val="20"/>
              </w:rPr>
            </w:pPr>
            <w:r>
              <w:rPr>
                <w:rFonts w:ascii="Arial" w:hAnsi="Arial" w:cs="Arial"/>
                <w:b/>
                <w:bCs/>
                <w:sz w:val="20"/>
                <w:szCs w:val="20"/>
              </w:rPr>
              <w:t>n-2</w:t>
            </w:r>
          </w:p>
        </w:tc>
        <w:tc>
          <w:tcPr>
            <w:tcW w:w="715" w:type="pct"/>
            <w:tcBorders>
              <w:top w:val="single" w:sz="4" w:space="0" w:color="auto"/>
              <w:left w:val="nil"/>
              <w:bottom w:val="single" w:sz="4" w:space="0" w:color="auto"/>
              <w:right w:val="single" w:sz="4" w:space="0" w:color="auto"/>
            </w:tcBorders>
          </w:tcPr>
          <w:p>
            <w:pPr>
              <w:jc w:val="center"/>
              <w:rPr>
                <w:rFonts w:ascii="Arial" w:hAnsi="Arial" w:cs="Arial"/>
                <w:b/>
                <w:bCs/>
                <w:sz w:val="20"/>
                <w:szCs w:val="20"/>
              </w:rPr>
            </w:pPr>
            <w:r>
              <w:rPr>
                <w:rFonts w:ascii="Arial" w:hAnsi="Arial" w:cs="Arial"/>
                <w:b/>
                <w:bCs/>
                <w:sz w:val="20"/>
                <w:szCs w:val="20"/>
              </w:rPr>
              <w:t>n-1</w:t>
            </w:r>
          </w:p>
        </w:tc>
        <w:tc>
          <w:tcPr>
            <w:tcW w:w="642" w:type="pct"/>
            <w:tcBorders>
              <w:top w:val="single" w:sz="4" w:space="0" w:color="auto"/>
              <w:left w:val="nil"/>
              <w:bottom w:val="single" w:sz="4" w:space="0" w:color="auto"/>
              <w:right w:val="single" w:sz="4" w:space="0" w:color="auto"/>
            </w:tcBorders>
          </w:tcPr>
          <w:p>
            <w:pPr>
              <w:jc w:val="center"/>
              <w:rPr>
                <w:rFonts w:ascii="Arial" w:hAnsi="Arial" w:cs="Arial"/>
                <w:b/>
                <w:bCs/>
                <w:sz w:val="20"/>
                <w:szCs w:val="20"/>
              </w:rPr>
            </w:pPr>
            <w:r>
              <w:rPr>
                <w:rFonts w:ascii="Arial" w:hAnsi="Arial" w:cs="Arial"/>
                <w:b/>
                <w:bCs/>
                <w:sz w:val="20"/>
                <w:szCs w:val="20"/>
              </w:rPr>
              <w:t>n</w:t>
            </w:r>
          </w:p>
        </w:tc>
      </w:tr>
      <w:tr>
        <w:trPr>
          <w:trHeight w:val="255"/>
          <w:jc w:val="center"/>
        </w:trPr>
        <w:tc>
          <w:tcPr>
            <w:tcW w:w="2783" w:type="pct"/>
            <w:tcBorders>
              <w:top w:val="single" w:sz="4" w:space="0" w:color="auto"/>
              <w:left w:val="single" w:sz="4" w:space="0" w:color="auto"/>
              <w:bottom w:val="single" w:sz="4" w:space="0" w:color="auto"/>
              <w:right w:val="single" w:sz="4" w:space="0" w:color="auto"/>
            </w:tcBorders>
            <w:vAlign w:val="center"/>
          </w:tcPr>
          <w:p>
            <w:pPr>
              <w:rPr>
                <w:rFonts w:ascii="Arial" w:hAnsi="Arial" w:cs="Arial"/>
                <w:b/>
                <w:bCs/>
                <w:sz w:val="20"/>
                <w:szCs w:val="20"/>
              </w:rPr>
            </w:pPr>
            <w:r>
              <w:rPr>
                <w:rFonts w:ascii="Arial" w:hAnsi="Arial" w:cs="Arial"/>
                <w:b/>
                <w:bCs/>
                <w:sz w:val="20"/>
                <w:szCs w:val="20"/>
              </w:rPr>
              <w:t>Disponibilità</w:t>
            </w:r>
          </w:p>
        </w:tc>
        <w:tc>
          <w:tcPr>
            <w:tcW w:w="860" w:type="pct"/>
            <w:tcBorders>
              <w:top w:val="nil"/>
              <w:left w:val="nil"/>
              <w:bottom w:val="single" w:sz="4" w:space="0" w:color="auto"/>
              <w:right w:val="single" w:sz="4" w:space="0" w:color="auto"/>
            </w:tcBorders>
            <w:noWrap/>
            <w:vAlign w:val="center"/>
          </w:tcPr>
          <w:p>
            <w:pPr>
              <w:jc w:val="right"/>
              <w:rPr>
                <w:rFonts w:ascii="Arial" w:hAnsi="Arial" w:cs="Arial"/>
                <w:sz w:val="18"/>
                <w:szCs w:val="18"/>
              </w:rPr>
            </w:pPr>
            <w:r>
              <w:rPr>
                <w:rFonts w:ascii="Arial" w:hAnsi="Arial" w:cs="Arial"/>
                <w:sz w:val="18"/>
                <w:szCs w:val="18"/>
              </w:rPr>
              <w:t>91.614,74</w:t>
            </w:r>
          </w:p>
        </w:tc>
        <w:tc>
          <w:tcPr>
            <w:tcW w:w="715" w:type="pct"/>
            <w:tcBorders>
              <w:top w:val="nil"/>
              <w:left w:val="nil"/>
              <w:bottom w:val="single" w:sz="4" w:space="0" w:color="auto"/>
              <w:right w:val="single" w:sz="4" w:space="0" w:color="auto"/>
            </w:tcBorders>
          </w:tcPr>
          <w:p>
            <w:pPr>
              <w:jc w:val="right"/>
              <w:rPr>
                <w:rFonts w:ascii="Arial" w:hAnsi="Arial" w:cs="Arial"/>
                <w:sz w:val="18"/>
                <w:szCs w:val="18"/>
              </w:rPr>
            </w:pPr>
            <w:r>
              <w:rPr>
                <w:rFonts w:ascii="Arial" w:hAnsi="Arial" w:cs="Arial"/>
                <w:sz w:val="18"/>
                <w:szCs w:val="18"/>
              </w:rPr>
              <w:t>194.991,09</w:t>
            </w:r>
          </w:p>
        </w:tc>
        <w:tc>
          <w:tcPr>
            <w:tcW w:w="642" w:type="pct"/>
            <w:tcBorders>
              <w:top w:val="nil"/>
              <w:left w:val="nil"/>
              <w:bottom w:val="single" w:sz="4" w:space="0" w:color="auto"/>
              <w:right w:val="single" w:sz="4" w:space="0" w:color="auto"/>
            </w:tcBorders>
          </w:tcPr>
          <w:p>
            <w:pPr>
              <w:jc w:val="right"/>
              <w:rPr>
                <w:rFonts w:ascii="Arial" w:hAnsi="Arial" w:cs="Arial"/>
                <w:sz w:val="18"/>
                <w:szCs w:val="18"/>
              </w:rPr>
            </w:pPr>
            <w:r>
              <w:rPr>
                <w:rFonts w:ascii="Arial" w:hAnsi="Arial" w:cs="Arial"/>
                <w:sz w:val="18"/>
                <w:szCs w:val="18"/>
              </w:rPr>
              <w:t>316.293,15</w:t>
            </w:r>
          </w:p>
        </w:tc>
      </w:tr>
      <w:tr>
        <w:trPr>
          <w:trHeight w:val="255"/>
          <w:jc w:val="center"/>
        </w:trPr>
        <w:tc>
          <w:tcPr>
            <w:tcW w:w="2783" w:type="pct"/>
            <w:tcBorders>
              <w:top w:val="single" w:sz="4" w:space="0" w:color="auto"/>
              <w:left w:val="single" w:sz="4" w:space="0" w:color="auto"/>
              <w:bottom w:val="single" w:sz="4" w:space="0" w:color="auto"/>
              <w:right w:val="single" w:sz="4" w:space="0" w:color="auto"/>
            </w:tcBorders>
            <w:vAlign w:val="center"/>
          </w:tcPr>
          <w:p>
            <w:pPr>
              <w:rPr>
                <w:rFonts w:ascii="Arial" w:hAnsi="Arial" w:cs="Arial"/>
                <w:b/>
                <w:bCs/>
                <w:sz w:val="20"/>
                <w:szCs w:val="20"/>
              </w:rPr>
            </w:pPr>
            <w:r>
              <w:rPr>
                <w:rFonts w:ascii="Arial" w:hAnsi="Arial" w:cs="Arial"/>
                <w:b/>
                <w:bCs/>
                <w:sz w:val="20"/>
                <w:szCs w:val="20"/>
              </w:rPr>
              <w:t>Di cui cassa vincolata</w:t>
            </w:r>
          </w:p>
        </w:tc>
        <w:tc>
          <w:tcPr>
            <w:tcW w:w="860" w:type="pct"/>
            <w:tcBorders>
              <w:top w:val="nil"/>
              <w:left w:val="nil"/>
              <w:bottom w:val="single" w:sz="4" w:space="0" w:color="auto"/>
              <w:right w:val="single" w:sz="4" w:space="0" w:color="auto"/>
            </w:tcBorders>
            <w:noWrap/>
            <w:vAlign w:val="center"/>
          </w:tcPr>
          <w:p>
            <w:pPr>
              <w:jc w:val="right"/>
              <w:rPr>
                <w:rFonts w:ascii="Arial" w:hAnsi="Arial" w:cs="Arial"/>
                <w:sz w:val="18"/>
                <w:szCs w:val="18"/>
              </w:rPr>
            </w:pPr>
            <w:r>
              <w:rPr>
                <w:rFonts w:ascii="Arial" w:hAnsi="Arial" w:cs="Arial"/>
                <w:sz w:val="18"/>
                <w:szCs w:val="18"/>
              </w:rPr>
              <w:t>0,00</w:t>
            </w:r>
          </w:p>
        </w:tc>
        <w:tc>
          <w:tcPr>
            <w:tcW w:w="715" w:type="pct"/>
            <w:tcBorders>
              <w:top w:val="nil"/>
              <w:left w:val="nil"/>
              <w:bottom w:val="single" w:sz="4" w:space="0" w:color="auto"/>
              <w:right w:val="single" w:sz="4" w:space="0" w:color="auto"/>
            </w:tcBorders>
          </w:tcPr>
          <w:p>
            <w:pPr>
              <w:jc w:val="right"/>
              <w:rPr>
                <w:rFonts w:ascii="Arial" w:hAnsi="Arial" w:cs="Arial"/>
                <w:sz w:val="18"/>
                <w:szCs w:val="18"/>
              </w:rPr>
            </w:pPr>
            <w:r>
              <w:rPr>
                <w:rFonts w:ascii="Arial" w:hAnsi="Arial" w:cs="Arial"/>
                <w:sz w:val="18"/>
                <w:szCs w:val="18"/>
              </w:rPr>
              <w:t>0,00</w:t>
            </w:r>
          </w:p>
        </w:tc>
        <w:tc>
          <w:tcPr>
            <w:tcW w:w="642" w:type="pct"/>
            <w:tcBorders>
              <w:top w:val="nil"/>
              <w:left w:val="nil"/>
              <w:bottom w:val="single" w:sz="4" w:space="0" w:color="auto"/>
              <w:right w:val="single" w:sz="4" w:space="0" w:color="auto"/>
            </w:tcBorders>
          </w:tcPr>
          <w:p>
            <w:pPr>
              <w:jc w:val="right"/>
              <w:rPr>
                <w:rFonts w:ascii="Arial" w:hAnsi="Arial" w:cs="Arial"/>
                <w:sz w:val="18"/>
                <w:szCs w:val="18"/>
              </w:rPr>
            </w:pPr>
            <w:r>
              <w:rPr>
                <w:rFonts w:ascii="Arial" w:hAnsi="Arial" w:cs="Arial"/>
                <w:sz w:val="18"/>
                <w:szCs w:val="18"/>
              </w:rPr>
              <w:t>0,00</w:t>
            </w:r>
          </w:p>
        </w:tc>
      </w:tr>
      <w:tr>
        <w:trPr>
          <w:trHeight w:val="255"/>
          <w:jc w:val="center"/>
        </w:trPr>
        <w:tc>
          <w:tcPr>
            <w:tcW w:w="2783" w:type="pct"/>
            <w:tcBorders>
              <w:top w:val="nil"/>
              <w:left w:val="single" w:sz="4" w:space="0" w:color="auto"/>
              <w:bottom w:val="single" w:sz="4" w:space="0" w:color="auto"/>
              <w:right w:val="single" w:sz="4" w:space="0" w:color="auto"/>
            </w:tcBorders>
            <w:vAlign w:val="center"/>
          </w:tcPr>
          <w:p>
            <w:pPr>
              <w:rPr>
                <w:rFonts w:ascii="Arial" w:hAnsi="Arial" w:cs="Arial"/>
                <w:b/>
                <w:bCs/>
                <w:sz w:val="20"/>
                <w:szCs w:val="20"/>
              </w:rPr>
            </w:pPr>
            <w:r>
              <w:rPr>
                <w:rFonts w:ascii="Arial" w:hAnsi="Arial" w:cs="Arial"/>
                <w:b/>
                <w:bCs/>
                <w:sz w:val="20"/>
                <w:szCs w:val="20"/>
              </w:rPr>
              <w:t>Anticipazioni non estinte al 31/12</w:t>
            </w:r>
          </w:p>
        </w:tc>
        <w:tc>
          <w:tcPr>
            <w:tcW w:w="860" w:type="pct"/>
            <w:tcBorders>
              <w:top w:val="nil"/>
              <w:left w:val="nil"/>
              <w:bottom w:val="single" w:sz="4" w:space="0" w:color="auto"/>
              <w:right w:val="single" w:sz="4" w:space="0" w:color="auto"/>
            </w:tcBorders>
            <w:noWrap/>
            <w:vAlign w:val="center"/>
          </w:tcPr>
          <w:p>
            <w:pPr>
              <w:jc w:val="right"/>
              <w:rPr>
                <w:rFonts w:ascii="Arial" w:hAnsi="Arial" w:cs="Arial"/>
                <w:sz w:val="18"/>
                <w:szCs w:val="18"/>
              </w:rPr>
            </w:pPr>
            <w:r>
              <w:rPr>
                <w:rFonts w:ascii="Arial" w:hAnsi="Arial" w:cs="Arial"/>
                <w:sz w:val="18"/>
                <w:szCs w:val="18"/>
              </w:rPr>
              <w:t xml:space="preserve">0,00 </w:t>
            </w:r>
          </w:p>
        </w:tc>
        <w:tc>
          <w:tcPr>
            <w:tcW w:w="715" w:type="pct"/>
            <w:tcBorders>
              <w:top w:val="nil"/>
              <w:left w:val="nil"/>
              <w:bottom w:val="single" w:sz="4" w:space="0" w:color="auto"/>
              <w:right w:val="single" w:sz="4" w:space="0" w:color="auto"/>
            </w:tcBorders>
          </w:tcPr>
          <w:p>
            <w:pPr>
              <w:jc w:val="right"/>
              <w:rPr>
                <w:rFonts w:ascii="Arial" w:hAnsi="Arial" w:cs="Arial"/>
                <w:sz w:val="18"/>
                <w:szCs w:val="18"/>
              </w:rPr>
            </w:pPr>
            <w:r>
              <w:rPr>
                <w:rFonts w:ascii="Arial" w:hAnsi="Arial" w:cs="Arial"/>
                <w:sz w:val="18"/>
                <w:szCs w:val="18"/>
              </w:rPr>
              <w:t>0,00</w:t>
            </w:r>
          </w:p>
        </w:tc>
        <w:tc>
          <w:tcPr>
            <w:tcW w:w="642" w:type="pct"/>
            <w:tcBorders>
              <w:top w:val="nil"/>
              <w:left w:val="nil"/>
              <w:bottom w:val="single" w:sz="4" w:space="0" w:color="auto"/>
              <w:right w:val="single" w:sz="4" w:space="0" w:color="auto"/>
            </w:tcBorders>
          </w:tcPr>
          <w:p>
            <w:pPr>
              <w:jc w:val="right"/>
              <w:rPr>
                <w:rFonts w:ascii="Arial" w:hAnsi="Arial" w:cs="Arial"/>
                <w:sz w:val="18"/>
                <w:szCs w:val="18"/>
              </w:rPr>
            </w:pPr>
            <w:r>
              <w:rPr>
                <w:rFonts w:ascii="Arial" w:hAnsi="Arial" w:cs="Arial"/>
                <w:sz w:val="18"/>
                <w:szCs w:val="18"/>
              </w:rPr>
              <w:t>0,00</w:t>
            </w:r>
          </w:p>
        </w:tc>
      </w:tr>
    </w:tbl>
    <w:p>
      <w:pPr>
        <w:tabs>
          <w:tab w:val="num" w:pos="1260"/>
        </w:tabs>
        <w:jc w:val="both"/>
        <w:rPr>
          <w:rFonts w:ascii="Arial" w:hAnsi="Arial" w:cs="Arial"/>
          <w:sz w:val="22"/>
          <w:szCs w:val="22"/>
        </w:rPr>
      </w:pPr>
    </w:p>
    <w:p>
      <w:pPr>
        <w:tabs>
          <w:tab w:val="num" w:pos="1260"/>
        </w:tabs>
        <w:jc w:val="both"/>
        <w:rPr>
          <w:rFonts w:ascii="Arial" w:hAnsi="Arial" w:cs="Arial"/>
          <w:sz w:val="22"/>
          <w:szCs w:val="22"/>
        </w:rPr>
      </w:pPr>
      <w:r>
        <w:rPr>
          <w:rFonts w:ascii="Arial" w:hAnsi="Arial" w:cs="Arial"/>
          <w:sz w:val="22"/>
          <w:szCs w:val="22"/>
        </w:rPr>
        <w:t>Per quanto riguarda il 2017 la disponibilità di cassa è stata stabilita tenendo conto del prospetto del tesoriere dell’ente al 31/12/2017 che corrisponde alle voci indicate in bilancio di previsione.</w:t>
      </w:r>
    </w:p>
    <w:p>
      <w:pPr>
        <w:jc w:val="both"/>
        <w:rPr>
          <w:rFonts w:ascii="Arial" w:hAnsi="Arial" w:cs="Arial"/>
        </w:rPr>
      </w:pPr>
      <w:r>
        <w:rPr>
          <w:rFonts w:ascii="Arial" w:hAnsi="Arial" w:cs="Arial"/>
        </w:rPr>
        <w:br w:type="page"/>
      </w:r>
    </w:p>
    <w:p>
      <w:pPr>
        <w:pStyle w:val="Titolo1"/>
        <w:shd w:val="clear" w:color="auto" w:fill="B6DDE8"/>
      </w:pPr>
      <w:bookmarkStart w:id="11" w:name="_Toc346838818"/>
      <w:bookmarkStart w:id="12" w:name="_Toc500328681"/>
      <w:r>
        <w:t xml:space="preserve">BILANCIO DI PREVISIONE </w:t>
      </w:r>
      <w:bookmarkEnd w:id="11"/>
      <w:r>
        <w:t>2018-2020</w:t>
      </w:r>
      <w:bookmarkEnd w:id="12"/>
    </w:p>
    <w:p>
      <w:pPr>
        <w:autoSpaceDE w:val="0"/>
        <w:autoSpaceDN w:val="0"/>
        <w:adjustRightInd w:val="0"/>
        <w:jc w:val="both"/>
        <w:rPr>
          <w:rFonts w:ascii="Arial" w:hAnsi="Arial" w:cs="Arial"/>
          <w:sz w:val="22"/>
          <w:szCs w:val="22"/>
        </w:rPr>
      </w:pPr>
      <w:bookmarkStart w:id="13" w:name="_Toc346838819"/>
      <w:r>
        <w:rPr>
          <w:rFonts w:ascii="Arial" w:hAnsi="Arial" w:cs="Arial"/>
          <w:sz w:val="22"/>
          <w:szCs w:val="22"/>
        </w:rPr>
        <w:t>L’Organo di revisione ha verificato che tutti i documenti contabili sono stati predisposti e redatti sulla base del sistema di codifica della contabilità armonizzata.</w:t>
      </w:r>
    </w:p>
    <w:p>
      <w:pPr>
        <w:autoSpaceDE w:val="0"/>
        <w:autoSpaceDN w:val="0"/>
        <w:adjustRightInd w:val="0"/>
        <w:jc w:val="both"/>
        <w:rPr>
          <w:rFonts w:ascii="Arial" w:hAnsi="Arial" w:cs="Arial"/>
          <w:sz w:val="22"/>
          <w:szCs w:val="22"/>
        </w:rPr>
      </w:pPr>
      <w:r>
        <w:rPr>
          <w:rFonts w:ascii="Arial" w:hAnsi="Arial" w:cs="Arial"/>
          <w:sz w:val="22"/>
          <w:szCs w:val="22"/>
        </w:rPr>
        <w:t>Il bilancio di previsione viene proposto nel rispetto del pareggio finanziario complessivo di competenza e nel rispetto degli equilibri di parte corrente e in conto capitale.</w:t>
      </w:r>
    </w:p>
    <w:p>
      <w:pPr>
        <w:autoSpaceDE w:val="0"/>
        <w:autoSpaceDN w:val="0"/>
        <w:adjustRightInd w:val="0"/>
        <w:jc w:val="both"/>
        <w:rPr>
          <w:rFonts w:ascii="Arial" w:hAnsi="Arial" w:cs="Arial"/>
          <w:sz w:val="22"/>
          <w:szCs w:val="22"/>
        </w:rPr>
      </w:pPr>
      <w:r>
        <w:rPr>
          <w:rFonts w:ascii="Arial" w:hAnsi="Arial" w:cs="Arial"/>
          <w:sz w:val="22"/>
          <w:szCs w:val="22"/>
        </w:rPr>
        <w:t xml:space="preserve">Le previsioni di competenza per gli anni 2018, 2019 e 2020 confrontate con le previsioni definitive per l’anno 2017 sono così formulate: </w:t>
      </w:r>
    </w:p>
    <w:p>
      <w:pPr>
        <w:pStyle w:val="Titolo2"/>
      </w:pPr>
    </w:p>
    <w:p>
      <w:pPr>
        <w:pStyle w:val="Titolo2"/>
      </w:pPr>
      <w:bookmarkStart w:id="14" w:name="_Toc500328682"/>
      <w:r>
        <w:t>1. Riepilogo generale entrate e spese per titoli</w:t>
      </w:r>
      <w:bookmarkEnd w:id="13"/>
      <w:bookmarkEnd w:id="14"/>
    </w:p>
    <w:p>
      <w:pPr>
        <w:rPr>
          <w:rFonts w:ascii="Arial" w:hAnsi="Arial" w:cs="Arial"/>
        </w:rPr>
      </w:pPr>
    </w:p>
    <w:p>
      <w:pPr>
        <w:rPr>
          <w:rFonts w:ascii="Arial" w:hAnsi="Arial" w:cs="Arial"/>
        </w:rPr>
      </w:pPr>
      <w:r>
        <w:rPr>
          <w:noProof/>
        </w:rPr>
        <w:object w:dxaOrig="1440" w:dyaOrig="1440">
          <v:shape id="_x0000_s1026" type="#_x0000_t75" style="position:absolute;margin-left:-13.55pt;margin-top:18.15pt;width:533.25pt;height:264.85pt;z-index:251658240">
            <v:imagedata r:id="rId14" o:title=""/>
            <w10:wrap type="square" side="right"/>
          </v:shape>
          <o:OLEObject Type="Embed" ProgID="Excel.Sheet.8" ShapeID="_x0000_s1026" DrawAspect="Content" ObjectID="_1580719632" r:id="rId15"/>
        </w:object>
      </w:r>
    </w:p>
    <w:p>
      <w:pPr>
        <w:ind w:right="-53"/>
        <w:rPr>
          <w:rFonts w:ascii="Arial" w:hAnsi="Arial" w:cs="Arial"/>
        </w:rPr>
      </w:pPr>
      <w:r>
        <w:rPr>
          <w:rFonts w:ascii="Arial" w:hAnsi="Arial" w:cs="Arial"/>
        </w:rPr>
        <w:br w:type="textWrapping" w:clear="all"/>
      </w:r>
    </w:p>
    <w:p>
      <w:pPr>
        <w:pStyle w:val="Titolo2"/>
      </w:pPr>
    </w:p>
    <w:p>
      <w:pPr>
        <w:pStyle w:val="Titolo2"/>
      </w:pPr>
    </w:p>
    <w:p>
      <w:pPr>
        <w:pStyle w:val="Titolo2"/>
      </w:pPr>
    </w:p>
    <w:p>
      <w:pPr>
        <w:pStyle w:val="Titolo2"/>
      </w:pPr>
    </w:p>
    <w:p>
      <w:pPr>
        <w:pStyle w:val="Titolo2"/>
      </w:pPr>
    </w:p>
    <w:p>
      <w:pPr>
        <w:pStyle w:val="Titolo2"/>
      </w:pPr>
    </w:p>
    <w:p>
      <w:pPr>
        <w:pStyle w:val="Titolo2"/>
      </w:pPr>
    </w:p>
    <w:p>
      <w:pPr>
        <w:pStyle w:val="Titolo2"/>
      </w:pPr>
    </w:p>
    <w:p>
      <w:pPr>
        <w:pStyle w:val="Titolo2"/>
      </w:pPr>
    </w:p>
    <w:p>
      <w:pPr>
        <w:pStyle w:val="Titolo2"/>
      </w:pPr>
    </w:p>
    <w:p>
      <w:pPr>
        <w:pStyle w:val="Titolo2"/>
      </w:pPr>
    </w:p>
    <w:p>
      <w:pPr>
        <w:pStyle w:val="Titolo2"/>
      </w:pPr>
    </w:p>
    <w:p>
      <w:pPr>
        <w:pStyle w:val="Titolo2"/>
      </w:pPr>
    </w:p>
    <w:p>
      <w:pPr>
        <w:jc w:val="center"/>
        <w:rPr>
          <w:rFonts w:ascii="Arial" w:hAnsi="Arial" w:cs="Arial"/>
        </w:rPr>
      </w:pPr>
      <w:r>
        <w:rPr>
          <w:rFonts w:ascii="Arial" w:hAnsi="Arial" w:cs="Arial"/>
        </w:rPr>
        <w:object w:dxaOrig="10346" w:dyaOrig="11886">
          <v:shape id="_x0000_i1027" type="#_x0000_t75" style="width:517.5pt;height:594pt" o:ole="">
            <v:imagedata r:id="rId16" o:title=""/>
          </v:shape>
          <o:OLEObject Type="Embed" ProgID="Excel.Sheet.12" ShapeID="_x0000_i1027" DrawAspect="Content" ObjectID="_1580719618" r:id="rId17"/>
        </w:object>
      </w:r>
    </w:p>
    <w:p>
      <w:pPr>
        <w:pStyle w:val="Corpodeltesto2"/>
        <w:spacing w:before="120"/>
        <w:jc w:val="both"/>
        <w:rPr>
          <w:szCs w:val="22"/>
        </w:rPr>
      </w:pPr>
      <w:r>
        <w:rPr>
          <w:szCs w:val="22"/>
        </w:rPr>
        <w:t xml:space="preserve">Le previsioni di competenza rispettano il </w:t>
      </w:r>
      <w:hyperlink r:id="rId18" w:history="1">
        <w:r>
          <w:rPr>
            <w:rStyle w:val="Collegamentoipertestuale"/>
            <w:rFonts w:cs="Arial"/>
            <w:color w:val="auto"/>
            <w:szCs w:val="22"/>
            <w:u w:val="none"/>
          </w:rPr>
          <w:t>principio generale n.16</w:t>
        </w:r>
      </w:hyperlink>
      <w:r>
        <w:rPr>
          <w:szCs w:val="22"/>
        </w:rPr>
        <w:t xml:space="preserve"> e rappresentano le entrate e le spese che si prevede saranno esigibili in ciascuno degli esercizi considerati anche se l’obbligazione giuridica è sorta in esercizi precedenti.</w:t>
      </w:r>
    </w:p>
    <w:p>
      <w:pPr>
        <w:pStyle w:val="Corpodeltesto2"/>
        <w:spacing w:before="120"/>
        <w:jc w:val="both"/>
        <w:rPr>
          <w:szCs w:val="22"/>
        </w:rPr>
      </w:pPr>
    </w:p>
    <w:p>
      <w:pPr>
        <w:pStyle w:val="Corpodeltesto2"/>
        <w:spacing w:before="120"/>
        <w:jc w:val="both"/>
        <w:rPr>
          <w:szCs w:val="22"/>
        </w:rPr>
      </w:pPr>
    </w:p>
    <w:p>
      <w:pPr>
        <w:pStyle w:val="Titolo2"/>
      </w:pPr>
      <w:bookmarkStart w:id="15" w:name="_Toc500328684"/>
    </w:p>
    <w:p>
      <w:pPr>
        <w:pStyle w:val="Titolo2"/>
      </w:pPr>
      <w:r>
        <w:lastRenderedPageBreak/>
        <w:t>2. Previsioni di cassa</w:t>
      </w:r>
      <w:bookmarkEnd w:id="15"/>
      <w:r>
        <w:t xml:space="preserve"> </w:t>
      </w:r>
    </w:p>
    <w:p>
      <w:pPr>
        <w:rPr>
          <w:rFonts w:ascii="Arial" w:hAnsi="Arial" w:cs="Arial"/>
        </w:rPr>
      </w:pPr>
    </w:p>
    <w:p>
      <w:pPr>
        <w:rPr>
          <w:rFonts w:ascii="Arial" w:hAnsi="Arial" w:cs="Arial"/>
          <w:b/>
        </w:rPr>
      </w:pPr>
      <w:r>
        <w:rPr>
          <w:noProof/>
        </w:rPr>
        <w:object w:dxaOrig="1440" w:dyaOrig="1440">
          <v:shape id="_x0000_s1027" type="#_x0000_t75" style="position:absolute;margin-left:65.1pt;margin-top:13pt;width:417.25pt;height:406pt;z-index:251659264">
            <v:imagedata r:id="rId19" o:title=""/>
            <w10:wrap type="square" side="right"/>
          </v:shape>
          <o:OLEObject Type="Embed" ProgID="Excel.Sheet.8" ShapeID="_x0000_s1027" DrawAspect="Content" ObjectID="_1580719633" r:id="rId20"/>
        </w:object>
      </w:r>
    </w:p>
    <w:p>
      <w:pPr>
        <w:rPr>
          <w:rFonts w:ascii="Arial" w:hAnsi="Arial" w:cs="Arial"/>
          <w:sz w:val="22"/>
          <w:szCs w:val="22"/>
        </w:rPr>
      </w:pPr>
    </w:p>
    <w:p>
      <w:pPr>
        <w:jc w:val="both"/>
        <w:rPr>
          <w:rFonts w:ascii="Arial" w:hAnsi="Arial" w:cs="Arial"/>
          <w:color w:val="000000"/>
          <w:sz w:val="22"/>
          <w:szCs w:val="22"/>
        </w:rPr>
      </w:pPr>
      <w:bookmarkStart w:id="16" w:name="_2._Verifica_equilibrio"/>
      <w:bookmarkStart w:id="17" w:name="_MON_1512111425"/>
      <w:bookmarkStart w:id="18" w:name="_Toc346838820"/>
      <w:bookmarkEnd w:id="16"/>
      <w:bookmarkEnd w:id="17"/>
      <w:r>
        <w:rPr>
          <w:rFonts w:ascii="Arial" w:hAnsi="Arial" w:cs="Arial"/>
          <w:color w:val="000000"/>
          <w:sz w:val="22"/>
          <w:szCs w:val="22"/>
        </w:rPr>
        <w:t>Gli stanziamenti di cassa comprendono le previsioni di riscossioni e pagamenti in conto competenza e in conto residui e sono elaborate in considerazione dei presumibili ritardi nella riscossione e nei pagamenti delle obbligazioni già esigibili nonché delle minori riscossioni per effetto delle riduzioni/esenzioni derivanti dal baratto amministrativo.</w:t>
      </w:r>
    </w:p>
    <w:p>
      <w:pPr>
        <w:rPr>
          <w:rFonts w:ascii="Arial" w:hAnsi="Arial" w:cs="Arial"/>
          <w:color w:val="000000"/>
          <w:sz w:val="22"/>
          <w:szCs w:val="22"/>
        </w:rPr>
      </w:pPr>
    </w:p>
    <w:p>
      <w:pPr>
        <w:jc w:val="both"/>
        <w:rPr>
          <w:rFonts w:ascii="Arial" w:hAnsi="Arial" w:cs="Arial"/>
          <w:color w:val="000000"/>
          <w:sz w:val="22"/>
          <w:szCs w:val="22"/>
        </w:rPr>
      </w:pPr>
      <w:r>
        <w:rPr>
          <w:rFonts w:ascii="Arial" w:hAnsi="Arial" w:cs="Arial"/>
          <w:color w:val="000000"/>
          <w:sz w:val="22"/>
          <w:szCs w:val="22"/>
        </w:rPr>
        <w:t>Il saldo di cassa non negativo assicura il rispetto del comma 6 dell’</w:t>
      </w:r>
      <w:r>
        <w:rPr>
          <w:rFonts w:ascii="Arial" w:hAnsi="Arial" w:cs="Arial"/>
          <w:sz w:val="22"/>
          <w:szCs w:val="22"/>
        </w:rPr>
        <w:t>art.162 del TUEL</w:t>
      </w:r>
      <w:r>
        <w:rPr>
          <w:rFonts w:ascii="Arial" w:hAnsi="Arial" w:cs="Arial"/>
          <w:color w:val="000000"/>
          <w:sz w:val="22"/>
          <w:szCs w:val="22"/>
        </w:rPr>
        <w:t>.</w:t>
      </w:r>
    </w:p>
    <w:p>
      <w:pPr>
        <w:jc w:val="both"/>
        <w:rPr>
          <w:rFonts w:ascii="Arial" w:hAnsi="Arial" w:cs="Arial"/>
          <w:color w:val="000000"/>
          <w:sz w:val="22"/>
          <w:szCs w:val="22"/>
        </w:rPr>
      </w:pPr>
    </w:p>
    <w:p>
      <w:pPr>
        <w:jc w:val="both"/>
        <w:rPr>
          <w:rFonts w:ascii="Arial" w:hAnsi="Arial" w:cs="Arial"/>
          <w:b/>
          <w:sz w:val="22"/>
          <w:szCs w:val="22"/>
        </w:rPr>
      </w:pPr>
      <w:r>
        <w:rPr>
          <w:rFonts w:ascii="Arial" w:hAnsi="Arial" w:cs="Arial"/>
          <w:sz w:val="22"/>
          <w:szCs w:val="22"/>
        </w:rPr>
        <w:t>L’organo di revisione ha verificato che la previsione di cassa è stata calcolata tenendo conto del trend della riscossione nonché di quanto accantonato al Fondo Crediti dubbia esigibilità di competenza e in sede di rendiconto.</w:t>
      </w: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L’organo di revisione rammenta che i singoli dirigenti o responsabili di servizi devono partecipare alle proposte di previsione autorizzatorie di cassa anche ai fini dell’accertamento preventivo di compatibilità di cui all’art. 183, comma 8, del TUEL.</w:t>
      </w:r>
    </w:p>
    <w:p>
      <w:pPr>
        <w:jc w:val="both"/>
        <w:rPr>
          <w:rFonts w:ascii="Arial" w:hAnsi="Arial" w:cs="Arial"/>
          <w:color w:val="000000"/>
          <w:sz w:val="22"/>
          <w:szCs w:val="22"/>
        </w:rPr>
      </w:pPr>
    </w:p>
    <w:p>
      <w:pPr>
        <w:jc w:val="both"/>
        <w:rPr>
          <w:rFonts w:ascii="Arial" w:hAnsi="Arial" w:cs="Arial"/>
          <w:color w:val="000000"/>
          <w:sz w:val="22"/>
          <w:szCs w:val="22"/>
        </w:rPr>
      </w:pPr>
      <w:r>
        <w:rPr>
          <w:rFonts w:ascii="Arial" w:hAnsi="Arial" w:cs="Arial"/>
          <w:color w:val="000000"/>
          <w:sz w:val="22"/>
          <w:szCs w:val="22"/>
        </w:rPr>
        <w:t xml:space="preserve">Il fondo iniziale di cassa comprende la cassa vincolata per euro zero. </w:t>
      </w:r>
    </w:p>
    <w:p>
      <w:pPr>
        <w:jc w:val="both"/>
        <w:rPr>
          <w:rFonts w:ascii="Arial" w:hAnsi="Arial" w:cs="Arial"/>
          <w:color w:val="000000"/>
          <w:sz w:val="22"/>
          <w:szCs w:val="22"/>
        </w:rPr>
      </w:pPr>
    </w:p>
    <w:p>
      <w:pPr>
        <w:jc w:val="both"/>
        <w:rPr>
          <w:rFonts w:ascii="Arial" w:hAnsi="Arial" w:cs="Arial"/>
          <w:sz w:val="22"/>
          <w:szCs w:val="22"/>
        </w:rPr>
      </w:pPr>
      <w:r>
        <w:rPr>
          <w:rFonts w:ascii="Arial" w:hAnsi="Arial" w:cs="Arial"/>
          <w:sz w:val="22"/>
          <w:szCs w:val="22"/>
        </w:rPr>
        <w:lastRenderedPageBreak/>
        <w:t>La differenza fra residui + previsione di competenza e previsione di cassa è dimostrata nel seguente prospetto:</w:t>
      </w:r>
    </w:p>
    <w:p>
      <w:pPr>
        <w:jc w:val="both"/>
        <w:rPr>
          <w:rFonts w:ascii="Arial" w:hAnsi="Arial" w:cs="Arial"/>
        </w:rPr>
      </w:pPr>
    </w:p>
    <w:bookmarkStart w:id="19" w:name="_MON_1580713535"/>
    <w:bookmarkEnd w:id="19"/>
    <w:p>
      <w:pPr>
        <w:rPr>
          <w:rFonts w:ascii="Arial" w:hAnsi="Arial" w:cs="Arial"/>
          <w:sz w:val="22"/>
          <w:szCs w:val="22"/>
        </w:rPr>
      </w:pPr>
      <w:r>
        <w:rPr>
          <w:rFonts w:ascii="Arial" w:hAnsi="Arial" w:cs="Arial"/>
          <w:sz w:val="22"/>
          <w:szCs w:val="22"/>
        </w:rPr>
        <w:object w:dxaOrig="10659" w:dyaOrig="6259">
          <v:shape id="_x0000_i1029" type="#_x0000_t75" style="width:533.25pt;height:309.75pt" o:ole="">
            <v:imagedata r:id="rId21" o:title=""/>
          </v:shape>
          <o:OLEObject Type="Embed" ProgID="Excel.Sheet.8" ShapeID="_x0000_i1029" DrawAspect="Content" ObjectID="_1580719619" r:id="rId22"/>
        </w:object>
      </w:r>
    </w:p>
    <w:p>
      <w:pPr>
        <w:jc w:val="both"/>
        <w:rPr>
          <w:rFonts w:ascii="Arial" w:hAnsi="Arial" w:cs="Arial"/>
          <w:sz w:val="22"/>
          <w:szCs w:val="22"/>
        </w:rPr>
      </w:pPr>
    </w:p>
    <w:p>
      <w:pPr>
        <w:rPr>
          <w:rFonts w:ascii="Arial" w:hAnsi="Arial" w:cs="Arial"/>
          <w:sz w:val="22"/>
          <w:szCs w:val="22"/>
        </w:rPr>
      </w:pPr>
    </w:p>
    <w:p>
      <w:pPr>
        <w:rPr>
          <w:rFonts w:ascii="Arial" w:hAnsi="Arial" w:cs="Arial"/>
          <w:sz w:val="22"/>
          <w:szCs w:val="22"/>
        </w:rPr>
      </w:pPr>
      <w:bookmarkStart w:id="20" w:name="_MON_1513432777"/>
      <w:bookmarkEnd w:id="20"/>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pStyle w:val="Titolo2"/>
      </w:pPr>
      <w:bookmarkStart w:id="21" w:name="_Toc500328685"/>
      <w:r>
        <w:lastRenderedPageBreak/>
        <w:t>3. Verifica equilibrio corrente anni 20</w:t>
      </w:r>
      <w:bookmarkEnd w:id="18"/>
      <w:r>
        <w:t>18-2020</w:t>
      </w:r>
      <w:bookmarkEnd w:id="21"/>
    </w:p>
    <w:p>
      <w:pPr>
        <w:rPr>
          <w:rFonts w:ascii="Arial" w:hAnsi="Arial" w:cs="Arial"/>
        </w:rPr>
      </w:pPr>
    </w:p>
    <w:p>
      <w:pPr>
        <w:rPr>
          <w:rFonts w:ascii="Arial" w:hAnsi="Arial" w:cs="Arial"/>
          <w:sz w:val="22"/>
          <w:szCs w:val="22"/>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333375</wp:posOffset>
            </wp:positionV>
            <wp:extent cx="6718300" cy="6453505"/>
            <wp:effectExtent l="0" t="0" r="0" b="0"/>
            <wp:wrapSquare wrapText="r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8300" cy="6453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Gli equilibri richiesti dal comma 6 dell’art.162 del TUEL sono così assicurati: </w:t>
      </w:r>
    </w:p>
    <w:p>
      <w:pPr>
        <w:rPr>
          <w:rFonts w:ascii="Arial" w:hAnsi="Arial" w:cs="Arial"/>
          <w:sz w:val="22"/>
          <w:szCs w:val="22"/>
        </w:rPr>
      </w:pPr>
      <w:bookmarkStart w:id="22" w:name="_MON_1497441630"/>
      <w:bookmarkEnd w:id="22"/>
    </w:p>
    <w:p>
      <w:pPr>
        <w:jc w:val="both"/>
        <w:rPr>
          <w:rFonts w:ascii="Arial" w:hAnsi="Arial" w:cs="Arial"/>
          <w:sz w:val="22"/>
          <w:szCs w:val="22"/>
        </w:rPr>
      </w:pPr>
    </w:p>
    <w:p>
      <w:pPr>
        <w:jc w:val="both"/>
        <w:rPr>
          <w:rFonts w:ascii="Arial" w:hAnsi="Arial" w:cs="Arial"/>
          <w:sz w:val="22"/>
          <w:szCs w:val="22"/>
        </w:rPr>
      </w:pPr>
    </w:p>
    <w:p>
      <w:pPr>
        <w:pStyle w:val="Titolo2"/>
      </w:pPr>
      <w:bookmarkStart w:id="23" w:name="_Toc500328686"/>
    </w:p>
    <w:p>
      <w:pPr>
        <w:pStyle w:val="Titolo2"/>
      </w:pPr>
    </w:p>
    <w:p>
      <w:pPr>
        <w:pStyle w:val="Titolo2"/>
      </w:pPr>
    </w:p>
    <w:p>
      <w:pPr>
        <w:pStyle w:val="Titolo2"/>
      </w:pPr>
    </w:p>
    <w:p>
      <w:pPr>
        <w:pStyle w:val="Titolo2"/>
      </w:pPr>
    </w:p>
    <w:p>
      <w:pPr>
        <w:pStyle w:val="Titolo2"/>
      </w:pPr>
    </w:p>
    <w:p>
      <w:pPr>
        <w:pStyle w:val="Titolo2"/>
      </w:pPr>
    </w:p>
    <w:p>
      <w:pPr>
        <w:pStyle w:val="Titolo2"/>
      </w:pPr>
    </w:p>
    <w:p>
      <w:pPr>
        <w:pStyle w:val="Titolo2"/>
      </w:pPr>
      <w:r>
        <w:lastRenderedPageBreak/>
        <w:t>4. Entrate e spese di carattere non ripetitivo</w:t>
      </w:r>
      <w:bookmarkEnd w:id="23"/>
    </w:p>
    <w:p>
      <w:pPr>
        <w:spacing w:before="120"/>
        <w:jc w:val="both"/>
        <w:rPr>
          <w:rFonts w:ascii="Arial" w:hAnsi="Arial" w:cs="Arial"/>
          <w:sz w:val="22"/>
          <w:szCs w:val="22"/>
        </w:rPr>
      </w:pPr>
      <w:r>
        <w:rPr>
          <w:rFonts w:ascii="Arial" w:hAnsi="Arial" w:cs="Arial"/>
          <w:sz w:val="22"/>
          <w:szCs w:val="22"/>
        </w:rPr>
        <w:t>L’articolo 25, comma 1, lettera b) della legge 31/12/2009, n.196 distingue le entrate ricorrenti da quelle non ricorrenti, a seconda che si riferiscano a proventi la cui acquisizione sia prevista a regime ovvero limitata a uno o più esercizi.</w:t>
      </w:r>
    </w:p>
    <w:p>
      <w:pPr>
        <w:spacing w:before="120"/>
        <w:jc w:val="both"/>
        <w:rPr>
          <w:rFonts w:ascii="Arial" w:hAnsi="Arial" w:cs="Arial"/>
          <w:sz w:val="22"/>
          <w:szCs w:val="22"/>
        </w:rPr>
      </w:pPr>
      <w:r>
        <w:rPr>
          <w:rFonts w:ascii="Arial" w:hAnsi="Arial" w:cs="Arial"/>
          <w:sz w:val="22"/>
          <w:szCs w:val="22"/>
        </w:rPr>
        <w:t>Nel bilancio sono previste nei primi tre titoli le seguenti entrate e nel titolo I le seguenti spese non ricorrenti (indicare solo l’importo che, come riportato nel commento, supera la media dei cinque anni precedenti).</w:t>
      </w:r>
    </w:p>
    <w:p>
      <w:pPr>
        <w:spacing w:before="120"/>
        <w:jc w:val="both"/>
        <w:rPr>
          <w:rFonts w:ascii="Arial" w:hAnsi="Arial" w:cs="Arial"/>
          <w:sz w:val="22"/>
          <w:szCs w:val="22"/>
        </w:rPr>
      </w:pPr>
    </w:p>
    <w:p>
      <w:pPr>
        <w:spacing w:before="120"/>
        <w:jc w:val="center"/>
        <w:rPr>
          <w:rFonts w:ascii="Arial" w:hAnsi="Arial" w:cs="Arial"/>
          <w:sz w:val="22"/>
          <w:szCs w:val="22"/>
        </w:rPr>
      </w:pPr>
      <w:r>
        <w:rPr>
          <w:rFonts w:ascii="Arial" w:hAnsi="Arial" w:cs="Arial"/>
          <w:sz w:val="22"/>
          <w:szCs w:val="22"/>
        </w:rPr>
        <w:object w:dxaOrig="9085" w:dyaOrig="6398">
          <v:shape id="_x0000_i1030" type="#_x0000_t75" style="width:454.5pt;height:316.5pt" o:ole="">
            <v:imagedata r:id="rId24" o:title=""/>
          </v:shape>
          <o:OLEObject Type="Embed" ProgID="Excel.Sheet.12" ShapeID="_x0000_i1030" DrawAspect="Content" ObjectID="_1580719620" r:id="rId25"/>
        </w:object>
      </w:r>
    </w:p>
    <w:p>
      <w:pPr>
        <w:pStyle w:val="Titolo2"/>
      </w:pPr>
      <w:bookmarkStart w:id="24" w:name="_MON_1513856869"/>
      <w:bookmarkStart w:id="25" w:name="_MON_1512278369"/>
      <w:bookmarkStart w:id="26" w:name="_Toc500328687"/>
      <w:bookmarkEnd w:id="24"/>
      <w:bookmarkEnd w:id="25"/>
    </w:p>
    <w:p/>
    <w:p/>
    <w:p/>
    <w:p>
      <w:pPr>
        <w:pStyle w:val="Titolo2"/>
      </w:pPr>
    </w:p>
    <w:p>
      <w:pPr>
        <w:pStyle w:val="Titolo2"/>
      </w:pPr>
      <w:r>
        <w:t>5. Verifica rispetto pareggio bilancio</w:t>
      </w:r>
      <w:bookmarkEnd w:id="26"/>
    </w:p>
    <w:p>
      <w:pPr>
        <w:jc w:val="both"/>
        <w:rPr>
          <w:rFonts w:ascii="Arial" w:hAnsi="Arial" w:cs="Arial"/>
          <w:b/>
          <w:sz w:val="22"/>
          <w:szCs w:val="22"/>
        </w:rPr>
      </w:pPr>
    </w:p>
    <w:p>
      <w:pPr>
        <w:jc w:val="both"/>
      </w:pPr>
      <w:r>
        <w:rPr>
          <w:rFonts w:ascii="Arial" w:hAnsi="Arial" w:cs="Arial"/>
          <w:sz w:val="22"/>
          <w:szCs w:val="22"/>
        </w:rPr>
        <w:t>Il pareggio di bilancio richiesto dall’art.9 della legge 243/2012 è assicurato come dal rigo N della tabella di cui al paragrafo 8.1 del presente parere.</w:t>
      </w:r>
    </w:p>
    <w:p>
      <w:pPr>
        <w:pStyle w:val="Titolo2"/>
      </w:pPr>
    </w:p>
    <w:p/>
    <w:p/>
    <w:p/>
    <w:p/>
    <w:p/>
    <w:p/>
    <w:p/>
    <w:p/>
    <w:p/>
    <w:p>
      <w:pPr>
        <w:pStyle w:val="Titolo2"/>
      </w:pPr>
      <w:bookmarkStart w:id="27" w:name="_Toc500328688"/>
      <w:r>
        <w:lastRenderedPageBreak/>
        <w:t>6. La nota integrativa</w:t>
      </w:r>
      <w:bookmarkEnd w:id="27"/>
    </w:p>
    <w:p>
      <w:pPr>
        <w:pStyle w:val="provvr0"/>
        <w:rPr>
          <w:rFonts w:ascii="Arial" w:hAnsi="Arial" w:cs="Arial"/>
          <w:sz w:val="22"/>
          <w:szCs w:val="22"/>
        </w:rPr>
      </w:pPr>
      <w:r>
        <w:rPr>
          <w:rFonts w:ascii="Arial" w:hAnsi="Arial" w:cs="Arial"/>
          <w:sz w:val="22"/>
          <w:szCs w:val="22"/>
        </w:rPr>
        <w:t xml:space="preserve">La nota integrativa è inserita nel Documento Unico di Programmazione (DUP) in modo semplificato come stabilito nelle disposizioni di legge. </w:t>
      </w:r>
    </w:p>
    <w:p>
      <w:pPr>
        <w:pStyle w:val="provvr0"/>
        <w:rPr>
          <w:rFonts w:ascii="Arial" w:hAnsi="Arial" w:cs="Arial"/>
          <w:sz w:val="22"/>
          <w:szCs w:val="22"/>
        </w:rPr>
      </w:pPr>
      <w:r>
        <w:rPr>
          <w:rFonts w:ascii="Arial" w:hAnsi="Arial" w:cs="Arial"/>
          <w:sz w:val="22"/>
          <w:szCs w:val="22"/>
        </w:rPr>
        <w:t>La nota integrativa allegata al bilancio di previsione indica come disposto dal comma 5 dell’art.11 del D.Lgs. 23/6/2011 n.118 tutte le seguenti informazioni:</w:t>
      </w:r>
    </w:p>
    <w:p>
      <w:pPr>
        <w:pStyle w:val="Paragrafoelenco"/>
        <w:numPr>
          <w:ilvl w:val="0"/>
          <w:numId w:val="21"/>
        </w:numPr>
        <w:jc w:val="both"/>
        <w:rPr>
          <w:rFonts w:ascii="Arial" w:hAnsi="Arial" w:cs="Arial"/>
          <w:sz w:val="22"/>
          <w:szCs w:val="22"/>
        </w:rPr>
      </w:pPr>
      <w:r>
        <w:rPr>
          <w:rFonts w:ascii="Arial" w:hAnsi="Arial" w:cs="Arial"/>
          <w:sz w:val="22"/>
          <w:szCs w:val="22"/>
        </w:rPr>
        <w:t xml:space="preserve">i criteri di valutazione adottati per la formulazione delle previsioni, con particolare riferimento agli stanziamenti riguardanti gli accantonamenti per le spese potenziali e al fondo crediti di dubbia esigibilità, dando illustrazione dei crediti per i quali non è previsto l'accantonamento a tale fondo; </w:t>
      </w:r>
    </w:p>
    <w:p>
      <w:pPr>
        <w:pStyle w:val="Paragrafoelenco"/>
        <w:numPr>
          <w:ilvl w:val="0"/>
          <w:numId w:val="21"/>
        </w:numPr>
        <w:jc w:val="both"/>
        <w:rPr>
          <w:rFonts w:ascii="Arial" w:hAnsi="Arial" w:cs="Arial"/>
          <w:sz w:val="22"/>
          <w:szCs w:val="22"/>
        </w:rPr>
      </w:pPr>
      <w:r>
        <w:rPr>
          <w:rFonts w:ascii="Arial" w:hAnsi="Arial" w:cs="Arial"/>
          <w:sz w:val="22"/>
          <w:szCs w:val="22"/>
        </w:rPr>
        <w:t xml:space="preserve">l'elenco degli interventi programmati per spese di investimento finanziati col ricorso al debito e con le risorse disponibili; </w:t>
      </w:r>
    </w:p>
    <w:p>
      <w:pPr>
        <w:pStyle w:val="Paragrafoelenco"/>
        <w:numPr>
          <w:ilvl w:val="0"/>
          <w:numId w:val="21"/>
        </w:numPr>
        <w:jc w:val="both"/>
        <w:rPr>
          <w:rFonts w:ascii="Arial" w:hAnsi="Arial" w:cs="Arial"/>
          <w:sz w:val="22"/>
          <w:szCs w:val="22"/>
        </w:rPr>
      </w:pPr>
      <w:r>
        <w:rPr>
          <w:rFonts w:ascii="Arial" w:hAnsi="Arial" w:cs="Arial"/>
          <w:sz w:val="22"/>
          <w:szCs w:val="22"/>
        </w:rPr>
        <w:t xml:space="preserve">l'elenco dei propri enti ed organismi strumentali, precisando che i relativi bilanci consuntivi sono consultabili nel proprio sito internet fermo restando quanto previsto per gli enti locali dall'art. 172, comma 1, lettera a) del Tuel; </w:t>
      </w:r>
    </w:p>
    <w:p>
      <w:pPr>
        <w:pStyle w:val="Paragrafoelenco"/>
        <w:numPr>
          <w:ilvl w:val="0"/>
          <w:numId w:val="21"/>
        </w:numPr>
        <w:jc w:val="both"/>
        <w:rPr>
          <w:rFonts w:ascii="Arial" w:hAnsi="Arial" w:cs="Arial"/>
          <w:sz w:val="22"/>
          <w:szCs w:val="22"/>
        </w:rPr>
      </w:pPr>
      <w:r>
        <w:rPr>
          <w:rFonts w:ascii="Arial" w:hAnsi="Arial" w:cs="Arial"/>
          <w:sz w:val="22"/>
          <w:szCs w:val="22"/>
        </w:rPr>
        <w:t xml:space="preserve">l'elenco delle partecipazioni possedute con l'indicazione della relativa quota percentuale; </w:t>
      </w:r>
    </w:p>
    <w:p>
      <w:pPr>
        <w:pStyle w:val="Paragrafoelenco"/>
        <w:numPr>
          <w:ilvl w:val="0"/>
          <w:numId w:val="21"/>
        </w:numPr>
        <w:jc w:val="both"/>
        <w:rPr>
          <w:rFonts w:ascii="Arial" w:hAnsi="Arial" w:cs="Arial"/>
          <w:sz w:val="22"/>
          <w:szCs w:val="22"/>
        </w:rPr>
      </w:pPr>
      <w:r>
        <w:rPr>
          <w:rFonts w:ascii="Arial" w:hAnsi="Arial" w:cs="Arial"/>
          <w:sz w:val="22"/>
          <w:szCs w:val="22"/>
        </w:rPr>
        <w:t>altre informazioni riguardanti le previsioni, richieste dalla legge o necessarie per l'interpretazione del bilancio.</w:t>
      </w:r>
    </w:p>
    <w:p>
      <w:pPr>
        <w:rPr>
          <w:rFonts w:ascii="Arial" w:hAnsi="Arial" w:cs="Arial"/>
          <w:sz w:val="22"/>
          <w:szCs w:val="22"/>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jc w:val="both"/>
        <w:rPr>
          <w:rFonts w:ascii="Arial" w:hAnsi="Arial" w:cs="Arial"/>
          <w:sz w:val="20"/>
        </w:rPr>
      </w:pPr>
    </w:p>
    <w:p>
      <w:pPr>
        <w:pStyle w:val="Titolo1"/>
        <w:shd w:val="clear" w:color="auto" w:fill="B6DDE8"/>
      </w:pPr>
      <w:bookmarkStart w:id="28" w:name="_VERIFICA_COERENZA_DELLE"/>
      <w:bookmarkStart w:id="29" w:name="_Toc346838827"/>
      <w:bookmarkStart w:id="30" w:name="_Toc500328689"/>
      <w:bookmarkEnd w:id="28"/>
      <w:r>
        <w:lastRenderedPageBreak/>
        <w:t>VERIFICA COERENZA DELLE PREVISIONI</w:t>
      </w:r>
      <w:bookmarkEnd w:id="29"/>
      <w:bookmarkEnd w:id="30"/>
    </w:p>
    <w:p>
      <w:pPr>
        <w:pStyle w:val="Titolo2"/>
      </w:pPr>
      <w:bookmarkStart w:id="31" w:name="_Toc346838828"/>
      <w:bookmarkStart w:id="32" w:name="_Toc500328690"/>
      <w:r>
        <w:t>7. Verifica della coerenza interna</w:t>
      </w:r>
      <w:bookmarkEnd w:id="31"/>
      <w:bookmarkEnd w:id="32"/>
    </w:p>
    <w:p>
      <w:pPr>
        <w:spacing w:after="60"/>
        <w:rPr>
          <w:rFonts w:ascii="Arial" w:hAnsi="Arial" w:cs="Arial"/>
          <w:b/>
          <w:sz w:val="22"/>
          <w:szCs w:val="22"/>
          <w:u w:val="single"/>
        </w:rPr>
      </w:pPr>
    </w:p>
    <w:p>
      <w:pPr>
        <w:spacing w:after="60"/>
        <w:jc w:val="both"/>
        <w:rPr>
          <w:rFonts w:ascii="Arial" w:hAnsi="Arial" w:cs="Arial"/>
          <w:sz w:val="22"/>
          <w:szCs w:val="22"/>
        </w:rPr>
      </w:pPr>
      <w:r>
        <w:rPr>
          <w:rFonts w:ascii="Arial" w:hAnsi="Arial" w:cs="Arial"/>
          <w:sz w:val="22"/>
          <w:szCs w:val="22"/>
        </w:rPr>
        <w:t>L’organo di revisione ritiene che le previsioni per gli anni 2018-2020 siano coerenti con gli strumenti di programmazione di mandato, con il documento unico di programmazione e con gli atti di programmazione di settore (piano triennale dei lavori pubblici, programmazione fabbisogno del personale, piano alienazioni e valorizzazione patrimonio immobiliare, ecc.).</w:t>
      </w:r>
    </w:p>
    <w:p>
      <w:pPr>
        <w:jc w:val="both"/>
        <w:outlineLvl w:val="2"/>
        <w:rPr>
          <w:rFonts w:ascii="Arial" w:hAnsi="Arial" w:cs="Arial"/>
          <w:sz w:val="22"/>
          <w:szCs w:val="22"/>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r>
        <w:rPr>
          <w:rFonts w:ascii="Arial" w:hAnsi="Arial" w:cs="Arial"/>
          <w:b/>
          <w:u w:val="single"/>
        </w:rPr>
        <w:t>7.1. Verifica contenuto informativo ed illustrativo del documento unico di programmazione DUP</w:t>
      </w:r>
    </w:p>
    <w:p>
      <w:pPr>
        <w:autoSpaceDE w:val="0"/>
        <w:autoSpaceDN w:val="0"/>
        <w:adjustRightInd w:val="0"/>
        <w:rPr>
          <w:rFonts w:ascii="Arial" w:hAnsi="Arial" w:cs="Arial"/>
          <w:b/>
          <w:bCs/>
          <w:sz w:val="22"/>
          <w:szCs w:val="22"/>
        </w:rPr>
      </w:pPr>
    </w:p>
    <w:p>
      <w:pPr>
        <w:jc w:val="both"/>
        <w:rPr>
          <w:rFonts w:ascii="Arial" w:hAnsi="Arial" w:cs="Arial"/>
          <w:sz w:val="22"/>
          <w:szCs w:val="22"/>
        </w:rPr>
      </w:pPr>
      <w:r>
        <w:rPr>
          <w:rFonts w:ascii="Arial" w:hAnsi="Arial" w:cs="Arial"/>
          <w:sz w:val="22"/>
          <w:szCs w:val="22"/>
        </w:rPr>
        <w:t>Il Documento Unico di Programmazione (DUP), è stato predisposto dalla Giunta secondo lo schema dettato dal Principio contabile applicato alla programmazione (</w:t>
      </w:r>
      <w:hyperlink r:id="rId26" w:history="1">
        <w:r>
          <w:rPr>
            <w:rStyle w:val="Collegamentoipertestuale"/>
            <w:rFonts w:ascii="Arial" w:hAnsi="Arial" w:cs="Arial"/>
            <w:color w:val="auto"/>
            <w:sz w:val="22"/>
            <w:szCs w:val="22"/>
          </w:rPr>
          <w:t>Allegato n. 4/1</w:t>
        </w:r>
      </w:hyperlink>
      <w:r>
        <w:rPr>
          <w:rFonts w:ascii="Arial" w:hAnsi="Arial" w:cs="Arial"/>
          <w:sz w:val="22"/>
          <w:szCs w:val="22"/>
        </w:rPr>
        <w:t xml:space="preserve"> al </w:t>
      </w:r>
      <w:hyperlink r:id="rId27" w:history="1">
        <w:r>
          <w:rPr>
            <w:rStyle w:val="Collegamentoipertestuale"/>
            <w:rFonts w:ascii="Arial" w:hAnsi="Arial" w:cs="Arial"/>
            <w:color w:val="auto"/>
            <w:sz w:val="22"/>
            <w:szCs w:val="22"/>
          </w:rPr>
          <w:t>D.Lgs. 118/2011</w:t>
        </w:r>
      </w:hyperlink>
      <w:r>
        <w:rPr>
          <w:rFonts w:ascii="Arial" w:hAnsi="Arial" w:cs="Arial"/>
          <w:sz w:val="22"/>
          <w:szCs w:val="22"/>
        </w:rPr>
        <w:t>).</w:t>
      </w:r>
    </w:p>
    <w:p>
      <w:pPr>
        <w:jc w:val="both"/>
        <w:rPr>
          <w:rFonts w:ascii="Arial" w:hAnsi="Arial" w:cs="Arial"/>
          <w:sz w:val="22"/>
          <w:szCs w:val="22"/>
        </w:rPr>
      </w:pPr>
      <w:r>
        <w:rPr>
          <w:rFonts w:ascii="Arial" w:hAnsi="Arial" w:cs="Arial"/>
          <w:sz w:val="22"/>
          <w:szCs w:val="22"/>
        </w:rPr>
        <w:t>Sul DUP e/o relativa nota di aggiornamento l’organo di revisione ha espresso parere con verbali n.2 del 03/03/2017 e n.1 del 19/02/2018 attestando la sua coerenza, attendibilità e congruità.</w:t>
      </w: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r>
        <w:rPr>
          <w:rFonts w:ascii="Arial" w:hAnsi="Arial" w:cs="Arial"/>
          <w:b/>
          <w:u w:val="single"/>
        </w:rPr>
        <w:t>7.2. Strumenti obbligatori di programmazione di settore</w:t>
      </w:r>
    </w:p>
    <w:p>
      <w:pPr>
        <w:jc w:val="both"/>
        <w:rPr>
          <w:rFonts w:ascii="Arial" w:hAnsi="Arial" w:cs="Arial"/>
          <w:b/>
          <w:sz w:val="22"/>
          <w:szCs w:val="22"/>
          <w:u w:val="single"/>
        </w:rPr>
      </w:pPr>
      <w:r>
        <w:rPr>
          <w:rFonts w:ascii="Arial" w:hAnsi="Arial" w:cs="Arial"/>
          <w:b/>
          <w:sz w:val="22"/>
          <w:szCs w:val="22"/>
          <w:u w:val="single"/>
        </w:rPr>
        <w:t xml:space="preserve"> </w:t>
      </w:r>
    </w:p>
    <w:p>
      <w:pPr>
        <w:jc w:val="both"/>
        <w:rPr>
          <w:rFonts w:ascii="Arial" w:hAnsi="Arial" w:cs="Arial"/>
          <w:sz w:val="22"/>
          <w:szCs w:val="22"/>
        </w:rPr>
      </w:pPr>
      <w:r>
        <w:rPr>
          <w:rFonts w:ascii="Arial" w:hAnsi="Arial" w:cs="Arial"/>
          <w:sz w:val="22"/>
          <w:szCs w:val="22"/>
        </w:rPr>
        <w:t>Il Dup contiene i seguenti strumenti obbligatori di programmazione di settore che sono coerenti con le previsioni di bilancio.</w:t>
      </w:r>
    </w:p>
    <w:p>
      <w:pPr>
        <w:spacing w:after="60"/>
        <w:rPr>
          <w:rFonts w:ascii="Arial" w:hAnsi="Arial" w:cs="Arial"/>
          <w:b/>
          <w:sz w:val="22"/>
          <w:szCs w:val="22"/>
        </w:rPr>
      </w:pPr>
    </w:p>
    <w:p>
      <w:pPr>
        <w:spacing w:after="60"/>
        <w:rPr>
          <w:rFonts w:ascii="Arial" w:hAnsi="Arial" w:cs="Arial"/>
          <w:b/>
          <w:sz w:val="22"/>
          <w:szCs w:val="22"/>
        </w:rPr>
      </w:pPr>
    </w:p>
    <w:p>
      <w:pPr>
        <w:spacing w:after="60"/>
        <w:rPr>
          <w:rFonts w:ascii="Arial" w:hAnsi="Arial" w:cs="Arial"/>
          <w:b/>
          <w:sz w:val="22"/>
          <w:szCs w:val="22"/>
        </w:rPr>
      </w:pPr>
    </w:p>
    <w:p>
      <w:pPr>
        <w:jc w:val="both"/>
        <w:rPr>
          <w:rFonts w:ascii="Arial" w:hAnsi="Arial" w:cs="Arial"/>
          <w:b/>
          <w:u w:val="single"/>
        </w:rPr>
      </w:pPr>
      <w:r>
        <w:rPr>
          <w:rFonts w:ascii="Arial" w:hAnsi="Arial" w:cs="Arial"/>
          <w:b/>
          <w:u w:val="single"/>
        </w:rPr>
        <w:t>7.2.1. Programma triennale lavori pubblici</w:t>
      </w: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Il programma triennale ed elenco annuale dei lavori pubblici per il triennio 2018-2020 di cui </w:t>
      </w:r>
      <w:hyperlink r:id="rId28" w:history="1">
        <w:r>
          <w:rPr>
            <w:rStyle w:val="Collegamentoipertestuale"/>
            <w:rFonts w:ascii="Arial" w:hAnsi="Arial" w:cs="Arial"/>
            <w:color w:val="auto"/>
            <w:sz w:val="22"/>
            <w:szCs w:val="22"/>
          </w:rPr>
          <w:t>all’art. 128 del D.Lgs. 163/2006</w:t>
        </w:r>
      </w:hyperlink>
      <w:r>
        <w:rPr>
          <w:rFonts w:ascii="Arial" w:hAnsi="Arial" w:cs="Arial"/>
          <w:sz w:val="22"/>
          <w:szCs w:val="22"/>
        </w:rPr>
        <w:t xml:space="preserve">, è stato redatto conformemente alle indicazioni e agli schemi di cui al </w:t>
      </w:r>
      <w:hyperlink r:id="rId29" w:history="1">
        <w:r>
          <w:rPr>
            <w:rStyle w:val="Collegamentoipertestuale"/>
            <w:rFonts w:ascii="Arial" w:hAnsi="Arial" w:cs="Arial"/>
            <w:color w:val="auto"/>
            <w:sz w:val="22"/>
            <w:szCs w:val="22"/>
          </w:rPr>
          <w:t>DM 11/11/2011 del Ministero delle infrastrutture e dei trasporti</w:t>
        </w:r>
      </w:hyperlink>
      <w:r>
        <w:rPr>
          <w:rStyle w:val="Collegamentoipertestuale"/>
          <w:rFonts w:ascii="Arial" w:hAnsi="Arial" w:cs="Arial"/>
          <w:color w:val="auto"/>
          <w:sz w:val="22"/>
          <w:szCs w:val="22"/>
        </w:rPr>
        <w:t xml:space="preserve"> </w:t>
      </w:r>
      <w:r>
        <w:rPr>
          <w:rFonts w:ascii="Arial" w:hAnsi="Arial" w:cs="Arial"/>
          <w:sz w:val="22"/>
          <w:szCs w:val="22"/>
        </w:rPr>
        <w:t xml:space="preserve">, è inserito nei DUP. </w:t>
      </w:r>
    </w:p>
    <w:p>
      <w:pPr>
        <w:rPr>
          <w:rFonts w:ascii="Arial" w:hAnsi="Arial" w:cs="Arial"/>
          <w:b/>
          <w:sz w:val="20"/>
        </w:rPr>
      </w:pPr>
    </w:p>
    <w:p>
      <w:pPr>
        <w:rPr>
          <w:rFonts w:ascii="Arial" w:hAnsi="Arial" w:cs="Arial"/>
          <w:b/>
          <w:sz w:val="20"/>
        </w:rPr>
      </w:pPr>
    </w:p>
    <w:p>
      <w:pPr>
        <w:rPr>
          <w:rFonts w:ascii="Arial" w:hAnsi="Arial" w:cs="Arial"/>
          <w:b/>
          <w:sz w:val="20"/>
        </w:rPr>
      </w:pPr>
    </w:p>
    <w:p>
      <w:pPr>
        <w:jc w:val="both"/>
        <w:rPr>
          <w:rFonts w:ascii="Arial" w:hAnsi="Arial" w:cs="Arial"/>
          <w:b/>
          <w:u w:val="single"/>
        </w:rPr>
      </w:pPr>
    </w:p>
    <w:p>
      <w:pPr>
        <w:jc w:val="both"/>
        <w:rPr>
          <w:rFonts w:ascii="Arial" w:hAnsi="Arial" w:cs="Arial"/>
          <w:b/>
          <w:u w:val="single"/>
        </w:rPr>
      </w:pPr>
      <w:r>
        <w:rPr>
          <w:rFonts w:ascii="Arial" w:hAnsi="Arial" w:cs="Arial"/>
          <w:b/>
          <w:u w:val="single"/>
        </w:rPr>
        <w:t>7.2.2. Programmazione del fabbisogno del personale</w:t>
      </w:r>
    </w:p>
    <w:p>
      <w:pPr>
        <w:jc w:val="both"/>
        <w:outlineLvl w:val="2"/>
        <w:rPr>
          <w:rFonts w:ascii="Arial" w:hAnsi="Arial" w:cs="Arial"/>
          <w:b/>
          <w:u w:val="single"/>
        </w:rPr>
      </w:pPr>
    </w:p>
    <w:p>
      <w:pPr>
        <w:jc w:val="both"/>
        <w:rPr>
          <w:rFonts w:ascii="Arial" w:hAnsi="Arial" w:cs="Arial"/>
          <w:sz w:val="22"/>
          <w:szCs w:val="22"/>
        </w:rPr>
      </w:pPr>
      <w:r>
        <w:rPr>
          <w:rFonts w:ascii="Arial" w:hAnsi="Arial" w:cs="Arial"/>
          <w:sz w:val="22"/>
          <w:szCs w:val="22"/>
        </w:rPr>
        <w:t>Il fabbisogno di personale nel triennio 2018/2020, tiene conto dei vincoli di legge disposti per le assunzioni e per la spesa di personale.</w:t>
      </w: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La previsione triennale è coerente con le esigenze finanziarie espresse nell’atto di programmazione del fabbisogno.</w:t>
      </w:r>
    </w:p>
    <w:p>
      <w:pPr>
        <w:pStyle w:val="Titolo2"/>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pStyle w:val="Titolo2"/>
      </w:pPr>
      <w:bookmarkStart w:id="33" w:name="_Toc346838829"/>
      <w:bookmarkStart w:id="34" w:name="_Toc500328691"/>
      <w:r>
        <w:lastRenderedPageBreak/>
        <w:t>8.  Verifica della coerenza esterna</w:t>
      </w:r>
      <w:bookmarkEnd w:id="33"/>
      <w:bookmarkEnd w:id="34"/>
    </w:p>
    <w:p>
      <w:pPr>
        <w:pStyle w:val="Titolo3"/>
      </w:pPr>
    </w:p>
    <w:p/>
    <w:p/>
    <w:p>
      <w:pPr>
        <w:jc w:val="both"/>
        <w:rPr>
          <w:rFonts w:ascii="Arial" w:hAnsi="Arial" w:cs="Arial"/>
          <w:b/>
          <w:sz w:val="22"/>
          <w:szCs w:val="22"/>
          <w:u w:val="single"/>
        </w:rPr>
      </w:pPr>
      <w:r>
        <w:rPr>
          <w:rFonts w:ascii="Arial" w:hAnsi="Arial" w:cs="Arial"/>
          <w:b/>
          <w:sz w:val="22"/>
          <w:szCs w:val="22"/>
          <w:u w:val="single"/>
        </w:rPr>
        <w:t xml:space="preserve">8.1. Pareggio di bilancio e saldo di finanza pubblica </w:t>
      </w:r>
    </w:p>
    <w:p>
      <w:pPr>
        <w:jc w:val="both"/>
        <w:rPr>
          <w:rFonts w:ascii="Arial" w:hAnsi="Arial" w:cs="Arial"/>
          <w:sz w:val="22"/>
          <w:szCs w:val="22"/>
        </w:rPr>
      </w:pPr>
    </w:p>
    <w:p>
      <w:pPr>
        <w:rPr>
          <w:rFonts w:ascii="Arial" w:hAnsi="Arial" w:cs="Arial"/>
          <w:sz w:val="22"/>
          <w:szCs w:val="22"/>
        </w:rPr>
      </w:pPr>
      <w:r>
        <w:rPr>
          <w:rFonts w:ascii="Arial" w:hAnsi="Arial" w:cs="Arial"/>
          <w:sz w:val="22"/>
          <w:szCs w:val="22"/>
        </w:rPr>
        <w:t>A legislazione vigente (art. 1 comma 466 L. 232/2016) gli Enti devono rispettare il saldo tra entrate finali e spese finali come da allegato 9 del D. Lgs. 118/2011 (ex art 9 L. 243/2012).</w:t>
      </w:r>
    </w:p>
    <w:p>
      <w:pPr>
        <w:rPr>
          <w:rFonts w:ascii="Arial" w:hAnsi="Arial" w:cs="Arial"/>
          <w:sz w:val="22"/>
          <w:szCs w:val="22"/>
        </w:rPr>
      </w:pPr>
    </w:p>
    <w:p>
      <w:pPr>
        <w:jc w:val="both"/>
        <w:rPr>
          <w:rFonts w:ascii="Arial" w:hAnsi="Arial" w:cs="Arial"/>
          <w:color w:val="00B0F0"/>
          <w:sz w:val="22"/>
          <w:szCs w:val="22"/>
        </w:rPr>
      </w:pPr>
      <w:r>
        <w:rPr>
          <w:rFonts w:ascii="Arial" w:hAnsi="Arial" w:cs="Arial"/>
          <w:sz w:val="22"/>
          <w:szCs w:val="22"/>
        </w:rPr>
        <w:t>Il prospetto dovrà essere aggiornato sulla base di eventuali modifiche inserite nella legge di Bilancio 2018 in corso di approvazione.</w:t>
      </w:r>
    </w:p>
    <w:p>
      <w:pPr>
        <w:rPr>
          <w:rFonts w:ascii="Arial" w:hAnsi="Arial" w:cs="Arial"/>
          <w:sz w:val="22"/>
          <w:szCs w:val="22"/>
        </w:rPr>
      </w:pPr>
      <w:r>
        <w:rPr>
          <w:rFonts w:ascii="Arial" w:hAnsi="Arial" w:cs="Arial"/>
          <w:sz w:val="22"/>
          <w:szCs w:val="22"/>
        </w:rPr>
        <w:t xml:space="preserve"> </w:t>
      </w:r>
    </w:p>
    <w:p>
      <w:pPr>
        <w:spacing w:before="120" w:after="60"/>
        <w:jc w:val="both"/>
        <w:rPr>
          <w:rFonts w:ascii="Arial" w:hAnsi="Arial" w:cs="Arial"/>
          <w:sz w:val="22"/>
          <w:szCs w:val="22"/>
        </w:rPr>
      </w:pPr>
      <w:r>
        <w:rPr>
          <w:rFonts w:ascii="Arial" w:hAnsi="Arial" w:cs="Arial"/>
          <w:sz w:val="22"/>
          <w:szCs w:val="22"/>
        </w:rPr>
        <w:t>Dalla verifica della coerenza delle previsioni con l’obiettivo di saldo risulta un saldo non negativo così determinato:</w:t>
      </w:r>
    </w:p>
    <w:p>
      <w:pPr>
        <w:spacing w:before="120" w:after="60"/>
        <w:jc w:val="both"/>
        <w:rPr>
          <w:rFonts w:ascii="Arial" w:hAnsi="Arial" w:cs="Arial"/>
          <w:sz w:val="22"/>
          <w:szCs w:val="22"/>
        </w:rPr>
      </w:pPr>
    </w:p>
    <w:p>
      <w:pPr>
        <w:spacing w:before="120" w:after="60"/>
        <w:jc w:val="both"/>
        <w:rPr>
          <w:rFonts w:ascii="Arial" w:hAnsi="Arial" w:cs="Arial"/>
          <w:sz w:val="22"/>
          <w:szCs w:val="22"/>
        </w:rPr>
      </w:pPr>
      <w:r>
        <w:rPr>
          <w:rFonts w:ascii="Arial" w:hAnsi="Arial" w:cs="Arial"/>
          <w:noProof/>
          <w:sz w:val="22"/>
          <w:szCs w:val="22"/>
        </w:rPr>
        <w:lastRenderedPageBreak/>
        <w:drawing>
          <wp:inline distT="0" distB="0" distL="0" distR="0">
            <wp:extent cx="6086475" cy="7191375"/>
            <wp:effectExtent l="0" t="0" r="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7191375"/>
                    </a:xfrm>
                    <a:prstGeom prst="rect">
                      <a:avLst/>
                    </a:prstGeom>
                    <a:noFill/>
                    <a:ln>
                      <a:noFill/>
                    </a:ln>
                  </pic:spPr>
                </pic:pic>
              </a:graphicData>
            </a:graphic>
          </wp:inline>
        </w:drawing>
      </w:r>
    </w:p>
    <w:p>
      <w:pPr>
        <w:spacing w:before="120" w:after="60"/>
        <w:jc w:val="both"/>
        <w:rPr>
          <w:rFonts w:ascii="Arial" w:hAnsi="Arial" w:cs="Arial"/>
          <w:sz w:val="22"/>
          <w:szCs w:val="22"/>
        </w:rPr>
      </w:pPr>
      <w:bookmarkStart w:id="35" w:name="_MON_1513243481"/>
      <w:bookmarkStart w:id="36" w:name="_Toc346838830"/>
      <w:bookmarkEnd w:id="35"/>
    </w:p>
    <w:p>
      <w:pPr>
        <w:spacing w:before="120" w:after="60"/>
        <w:jc w:val="both"/>
        <w:rPr>
          <w:rFonts w:ascii="Arial" w:hAnsi="Arial" w:cs="Arial"/>
          <w:sz w:val="22"/>
          <w:szCs w:val="22"/>
        </w:rPr>
      </w:pPr>
    </w:p>
    <w:p>
      <w:pPr>
        <w:spacing w:before="120" w:after="60"/>
        <w:jc w:val="both"/>
        <w:rPr>
          <w:rFonts w:ascii="Arial" w:hAnsi="Arial" w:cs="Arial"/>
          <w:sz w:val="22"/>
          <w:szCs w:val="22"/>
        </w:rPr>
      </w:pPr>
    </w:p>
    <w:p>
      <w:pPr>
        <w:spacing w:before="120" w:after="60"/>
        <w:jc w:val="both"/>
        <w:rPr>
          <w:rFonts w:ascii="Arial" w:hAnsi="Arial" w:cs="Arial"/>
          <w:sz w:val="22"/>
          <w:szCs w:val="22"/>
        </w:rPr>
      </w:pPr>
    </w:p>
    <w:p>
      <w:pPr>
        <w:spacing w:before="120" w:after="60"/>
        <w:jc w:val="both"/>
        <w:rPr>
          <w:rFonts w:ascii="Arial" w:hAnsi="Arial" w:cs="Arial"/>
          <w:sz w:val="22"/>
          <w:szCs w:val="22"/>
        </w:rPr>
      </w:pPr>
    </w:p>
    <w:p>
      <w:pPr>
        <w:spacing w:before="120" w:after="60"/>
        <w:jc w:val="both"/>
        <w:rPr>
          <w:rFonts w:ascii="Arial" w:hAnsi="Arial" w:cs="Arial"/>
          <w:sz w:val="22"/>
          <w:szCs w:val="22"/>
        </w:rPr>
      </w:pPr>
    </w:p>
    <w:p>
      <w:pPr>
        <w:spacing w:before="120" w:after="60"/>
        <w:jc w:val="both"/>
        <w:rPr>
          <w:rFonts w:ascii="Arial" w:hAnsi="Arial" w:cs="Arial"/>
          <w:sz w:val="22"/>
          <w:szCs w:val="22"/>
        </w:rPr>
      </w:pPr>
    </w:p>
    <w:p>
      <w:pPr>
        <w:pStyle w:val="Titolo1"/>
        <w:shd w:val="clear" w:color="auto" w:fill="B6DDE8"/>
      </w:pPr>
      <w:bookmarkStart w:id="37" w:name="_Toc500328692"/>
      <w:r>
        <w:lastRenderedPageBreak/>
        <w:t xml:space="preserve">VERIFICA ATTENDIBILITA’ E CONGRUITA’ DELLE PREVISIONI ANNO </w:t>
      </w:r>
      <w:bookmarkEnd w:id="36"/>
      <w:r>
        <w:t>2018-2020</w:t>
      </w:r>
      <w:bookmarkEnd w:id="37"/>
    </w:p>
    <w:p>
      <w:pPr>
        <w:pStyle w:val="Titolo2"/>
      </w:pPr>
      <w:bookmarkStart w:id="38" w:name="_Toc500328693"/>
      <w:r>
        <w:t>A) ENTRATE</w:t>
      </w:r>
      <w:bookmarkEnd w:id="38"/>
      <w:r>
        <w:t xml:space="preserve"> </w:t>
      </w:r>
    </w:p>
    <w:p>
      <w:pPr>
        <w:pStyle w:val="Corpodeltesto2"/>
        <w:numPr>
          <w:ilvl w:val="12"/>
          <w:numId w:val="0"/>
        </w:numPr>
        <w:tabs>
          <w:tab w:val="clear" w:pos="426"/>
          <w:tab w:val="left" w:pos="708"/>
        </w:tabs>
        <w:jc w:val="both"/>
        <w:rPr>
          <w:sz w:val="20"/>
        </w:rPr>
      </w:pPr>
    </w:p>
    <w:p>
      <w:pPr>
        <w:pStyle w:val="Corpodeltesto2"/>
        <w:numPr>
          <w:ilvl w:val="12"/>
          <w:numId w:val="0"/>
        </w:numPr>
        <w:tabs>
          <w:tab w:val="clear" w:pos="426"/>
          <w:tab w:val="left" w:pos="708"/>
        </w:tabs>
        <w:jc w:val="both"/>
        <w:rPr>
          <w:szCs w:val="22"/>
        </w:rPr>
      </w:pPr>
      <w:r>
        <w:rPr>
          <w:szCs w:val="22"/>
        </w:rPr>
        <w:t>Ai fini della verifica dell’attendibilità delle entrate e congruità delle spese previste per gli esercizi 2018-2020, alla luce della manovra disposta dall’ente, sono state analizzate in particolare le voci di bilancio appresso riportate.</w:t>
      </w:r>
    </w:p>
    <w:p>
      <w:pPr>
        <w:pStyle w:val="Corpodeltesto2"/>
        <w:numPr>
          <w:ilvl w:val="12"/>
          <w:numId w:val="0"/>
        </w:numPr>
        <w:tabs>
          <w:tab w:val="clear" w:pos="426"/>
          <w:tab w:val="left" w:pos="708"/>
        </w:tabs>
        <w:jc w:val="both"/>
        <w:rPr>
          <w:szCs w:val="22"/>
        </w:rPr>
      </w:pPr>
    </w:p>
    <w:p>
      <w:pPr>
        <w:pStyle w:val="Titolo3"/>
        <w:rPr>
          <w:sz w:val="24"/>
        </w:rPr>
      </w:pPr>
      <w:bookmarkStart w:id="39" w:name="_Toc500328694"/>
      <w:r>
        <w:rPr>
          <w:sz w:val="24"/>
        </w:rPr>
        <w:t>Entrate da fiscalità locale</w:t>
      </w:r>
      <w:bookmarkEnd w:id="39"/>
    </w:p>
    <w:p>
      <w:pPr>
        <w:numPr>
          <w:ilvl w:val="12"/>
          <w:numId w:val="0"/>
        </w:numPr>
        <w:jc w:val="both"/>
        <w:outlineLvl w:val="2"/>
        <w:rPr>
          <w:rFonts w:ascii="Arial" w:hAnsi="Arial" w:cs="Arial"/>
          <w:b/>
          <w:i/>
          <w:u w:val="single"/>
        </w:rPr>
      </w:pPr>
    </w:p>
    <w:p>
      <w:pPr>
        <w:jc w:val="both"/>
        <w:rPr>
          <w:rFonts w:ascii="Arial" w:hAnsi="Arial" w:cs="Arial"/>
          <w:b/>
          <w:u w:val="single"/>
        </w:rPr>
      </w:pPr>
      <w:r>
        <w:rPr>
          <w:rFonts w:ascii="Arial" w:hAnsi="Arial" w:cs="Arial"/>
          <w:b/>
          <w:u w:val="single"/>
        </w:rPr>
        <w:t>Addizionale Comunale all’Irpef</w:t>
      </w:r>
    </w:p>
    <w:p>
      <w:pPr>
        <w:numPr>
          <w:ilvl w:val="12"/>
          <w:numId w:val="0"/>
        </w:numPr>
        <w:jc w:val="both"/>
        <w:rPr>
          <w:rFonts w:ascii="Arial" w:hAnsi="Arial" w:cs="Arial"/>
          <w:sz w:val="22"/>
          <w:szCs w:val="22"/>
        </w:rPr>
      </w:pPr>
    </w:p>
    <w:p>
      <w:pPr>
        <w:numPr>
          <w:ilvl w:val="12"/>
          <w:numId w:val="0"/>
        </w:numPr>
        <w:jc w:val="both"/>
        <w:rPr>
          <w:rFonts w:ascii="Arial" w:hAnsi="Arial" w:cs="Arial"/>
          <w:sz w:val="22"/>
          <w:szCs w:val="22"/>
        </w:rPr>
      </w:pPr>
      <w:r>
        <w:rPr>
          <w:rFonts w:ascii="Arial" w:hAnsi="Arial" w:cs="Arial"/>
          <w:sz w:val="22"/>
          <w:szCs w:val="22"/>
        </w:rPr>
        <w:t xml:space="preserve">Il comune ha applicato, ai sensi dell’art. 1 del D. Lgs. n. 360/1998, l’addizionale all’IRPEF, fissandone l’aliquota in misura del 0,50% </w:t>
      </w:r>
    </w:p>
    <w:p>
      <w:pPr>
        <w:numPr>
          <w:ilvl w:val="12"/>
          <w:numId w:val="0"/>
        </w:numPr>
        <w:jc w:val="both"/>
        <w:rPr>
          <w:rFonts w:ascii="Arial" w:hAnsi="Arial" w:cs="Arial"/>
          <w:sz w:val="22"/>
          <w:szCs w:val="22"/>
        </w:rPr>
      </w:pPr>
    </w:p>
    <w:p>
      <w:pPr>
        <w:jc w:val="both"/>
        <w:rPr>
          <w:rFonts w:ascii="Arial" w:hAnsi="Arial" w:cs="Arial"/>
          <w:b/>
          <w:u w:val="single"/>
        </w:rPr>
      </w:pPr>
      <w:r>
        <w:rPr>
          <w:rFonts w:ascii="Arial" w:hAnsi="Arial" w:cs="Arial"/>
          <w:b/>
          <w:u w:val="single"/>
        </w:rPr>
        <w:t>Altre entrate</w:t>
      </w: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Per quanto riguarda le altre entrate sono rimaste invariate rispetto all’esercizio 2017, come si evince dalla nota di aggiornamento al DUP e dalla delibera C.C. n.4 del 14/02/2018.</w:t>
      </w:r>
    </w:p>
    <w:p>
      <w:pPr>
        <w:pStyle w:val="Titolo3"/>
      </w:pPr>
      <w:bookmarkStart w:id="40" w:name="_ENTRATE_CORRENTI"/>
      <w:bookmarkEnd w:id="40"/>
    </w:p>
    <w:p>
      <w:pPr>
        <w:pStyle w:val="Titolo3"/>
      </w:pPr>
    </w:p>
    <w:p>
      <w:pPr>
        <w:pStyle w:val="Titolo3"/>
      </w:pPr>
      <w:bookmarkStart w:id="41" w:name="_Toc500328695"/>
      <w:r>
        <w:t>Risorse relative al recupero dell’evasione tributaria</w:t>
      </w:r>
      <w:bookmarkEnd w:id="41"/>
    </w:p>
    <w:p>
      <w:pPr>
        <w:rPr>
          <w:rFonts w:ascii="Arial" w:hAnsi="Arial" w:cs="Arial"/>
          <w:b/>
          <w:sz w:val="20"/>
          <w:u w:val="single"/>
        </w:rPr>
      </w:pPr>
    </w:p>
    <w:p>
      <w:pPr>
        <w:rPr>
          <w:rFonts w:ascii="Arial" w:hAnsi="Arial" w:cs="Arial"/>
          <w:sz w:val="22"/>
          <w:szCs w:val="22"/>
        </w:rPr>
      </w:pPr>
      <w:r>
        <w:rPr>
          <w:rFonts w:ascii="Arial" w:hAnsi="Arial" w:cs="Arial"/>
          <w:sz w:val="22"/>
          <w:szCs w:val="22"/>
        </w:rPr>
        <w:t>Le entrate relative all’attività di controllo delle dichiarazioni subiscono le seguenti variazioni:</w:t>
      </w:r>
    </w:p>
    <w:p>
      <w:pPr>
        <w:rPr>
          <w:rFonts w:ascii="Arial" w:hAnsi="Arial" w:cs="Arial"/>
          <w:sz w:val="22"/>
          <w:szCs w:val="22"/>
        </w:rPr>
      </w:pPr>
    </w:p>
    <w:p>
      <w:pPr>
        <w:rPr>
          <w:rFonts w:ascii="Arial" w:hAnsi="Arial" w:cs="Arial"/>
          <w:i/>
          <w:sz w:val="22"/>
          <w:szCs w:val="22"/>
        </w:rPr>
      </w:pPr>
      <w:r>
        <w:rPr>
          <w:rFonts w:ascii="Arial" w:hAnsi="Arial" w:cs="Arial"/>
          <w:sz w:val="22"/>
          <w:szCs w:val="22"/>
        </w:rPr>
        <w:object w:dxaOrig="10021" w:dyaOrig="3499">
          <v:shape id="_x0000_i1032" type="#_x0000_t75" style="width:501pt;height:173.25pt" o:ole="">
            <v:imagedata r:id="rId31" o:title=""/>
          </v:shape>
          <o:OLEObject Type="Embed" ProgID="Excel.Sheet.12" ShapeID="_x0000_i1032" DrawAspect="Content" ObjectID="_1580719621" r:id="rId32"/>
        </w:object>
      </w:r>
      <w:r>
        <w:rPr>
          <w:rFonts w:ascii="Arial" w:hAnsi="Arial" w:cs="Arial"/>
          <w:i/>
          <w:sz w:val="22"/>
          <w:szCs w:val="22"/>
        </w:rPr>
        <w:t>*accertato 2017 e residuo 2017 se approvato il rendiconto 2017</w:t>
      </w:r>
    </w:p>
    <w:p>
      <w:pPr>
        <w:rPr>
          <w:rFonts w:ascii="Arial" w:hAnsi="Arial" w:cs="Arial"/>
          <w:b/>
          <w:u w:val="single"/>
        </w:rPr>
      </w:pPr>
      <w:bookmarkStart w:id="42" w:name="_MON_1513857152"/>
      <w:bookmarkEnd w:id="42"/>
    </w:p>
    <w:p>
      <w:pPr>
        <w:jc w:val="both"/>
        <w:rPr>
          <w:rFonts w:ascii="Arial" w:hAnsi="Arial" w:cs="Arial"/>
          <w:b/>
          <w:u w:val="single"/>
        </w:rPr>
      </w:pPr>
      <w:r>
        <w:rPr>
          <w:rFonts w:ascii="Arial" w:hAnsi="Arial" w:cs="Arial"/>
          <w:sz w:val="22"/>
          <w:szCs w:val="22"/>
        </w:rPr>
        <w:t>La quantificazione del fondo crediti di dubbia esigibilità per gli anni 2018/2020 appare congrua in relazione all’andamento storico delle riscossioni rispetto agli accertamenti ed ai crediti dichiarati inesigibili inclusi tra le componenti di costo.</w:t>
      </w: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pStyle w:val="Titolo3"/>
      </w:pPr>
      <w:bookmarkStart w:id="43" w:name="_Toc500328696"/>
      <w:r>
        <w:t>Entrate da titoli abitativi e relative sanzioni</w:t>
      </w:r>
      <w:bookmarkEnd w:id="43"/>
    </w:p>
    <w:p>
      <w:pPr>
        <w:rPr>
          <w:rFonts w:ascii="Arial" w:hAnsi="Arial" w:cs="Arial"/>
          <w:sz w:val="22"/>
          <w:szCs w:val="22"/>
        </w:rPr>
      </w:pPr>
    </w:p>
    <w:p>
      <w:pPr>
        <w:jc w:val="both"/>
        <w:rPr>
          <w:rFonts w:ascii="Arial" w:hAnsi="Arial" w:cs="Arial"/>
          <w:sz w:val="22"/>
          <w:szCs w:val="22"/>
        </w:rPr>
      </w:pPr>
      <w:r>
        <w:rPr>
          <w:rFonts w:ascii="Arial" w:hAnsi="Arial" w:cs="Arial"/>
          <w:sz w:val="22"/>
          <w:szCs w:val="22"/>
        </w:rPr>
        <w:t>La previsione delle entrate da titoli abitativi e relative sanzioni è la seguente:</w:t>
      </w:r>
    </w:p>
    <w:p>
      <w:pPr>
        <w:rPr>
          <w:rFonts w:ascii="Arial" w:hAnsi="Arial" w:cs="Arial"/>
          <w:sz w:val="22"/>
          <w:szCs w:val="22"/>
        </w:rPr>
      </w:pPr>
    </w:p>
    <w:tbl>
      <w:tblPr>
        <w:tblW w:w="6632" w:type="dxa"/>
        <w:jc w:val="center"/>
        <w:tblCellMar>
          <w:left w:w="70" w:type="dxa"/>
          <w:right w:w="70" w:type="dxa"/>
        </w:tblCellMar>
        <w:tblLook w:val="00A0" w:firstRow="1" w:lastRow="0" w:firstColumn="1" w:lastColumn="0" w:noHBand="0" w:noVBand="0"/>
      </w:tblPr>
      <w:tblGrid>
        <w:gridCol w:w="960"/>
        <w:gridCol w:w="1500"/>
        <w:gridCol w:w="2086"/>
        <w:gridCol w:w="2086"/>
      </w:tblGrid>
      <w:tr>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tcPr>
          <w:p>
            <w:pPr>
              <w:jc w:val="center"/>
              <w:rPr>
                <w:rFonts w:ascii="Arial" w:hAnsi="Arial" w:cs="Arial"/>
                <w:b/>
                <w:color w:val="000000"/>
              </w:rPr>
            </w:pPr>
            <w:r>
              <w:rPr>
                <w:rFonts w:ascii="Arial" w:hAnsi="Arial" w:cs="Arial"/>
                <w:b/>
                <w:color w:val="000000"/>
                <w:sz w:val="22"/>
                <w:szCs w:val="22"/>
              </w:rPr>
              <w:t>Anno</w:t>
            </w:r>
          </w:p>
        </w:tc>
        <w:tc>
          <w:tcPr>
            <w:tcW w:w="1500" w:type="dxa"/>
            <w:tcBorders>
              <w:top w:val="single" w:sz="4" w:space="0" w:color="auto"/>
              <w:left w:val="nil"/>
              <w:bottom w:val="single" w:sz="4" w:space="0" w:color="auto"/>
              <w:right w:val="single" w:sz="4" w:space="0" w:color="auto"/>
            </w:tcBorders>
            <w:noWrap/>
            <w:vAlign w:val="bottom"/>
          </w:tcPr>
          <w:p>
            <w:pPr>
              <w:jc w:val="center"/>
              <w:rPr>
                <w:rFonts w:ascii="Arial" w:hAnsi="Arial" w:cs="Arial"/>
                <w:b/>
                <w:color w:val="000000"/>
              </w:rPr>
            </w:pPr>
            <w:r>
              <w:rPr>
                <w:rFonts w:ascii="Arial" w:hAnsi="Arial" w:cs="Arial"/>
                <w:b/>
                <w:color w:val="000000"/>
                <w:sz w:val="22"/>
                <w:szCs w:val="22"/>
              </w:rPr>
              <w:t>Importo</w:t>
            </w:r>
          </w:p>
        </w:tc>
        <w:tc>
          <w:tcPr>
            <w:tcW w:w="2086" w:type="dxa"/>
            <w:tcBorders>
              <w:top w:val="single" w:sz="4" w:space="0" w:color="auto"/>
              <w:left w:val="nil"/>
              <w:bottom w:val="single" w:sz="4" w:space="0" w:color="auto"/>
              <w:right w:val="single" w:sz="4" w:space="0" w:color="auto"/>
            </w:tcBorders>
            <w:noWrap/>
            <w:vAlign w:val="bottom"/>
          </w:tcPr>
          <w:p>
            <w:pPr>
              <w:jc w:val="center"/>
              <w:rPr>
                <w:rFonts w:ascii="Arial" w:hAnsi="Arial" w:cs="Arial"/>
                <w:b/>
                <w:color w:val="000000"/>
              </w:rPr>
            </w:pPr>
            <w:r>
              <w:rPr>
                <w:rFonts w:ascii="Arial" w:hAnsi="Arial" w:cs="Arial"/>
                <w:b/>
                <w:color w:val="000000"/>
                <w:sz w:val="22"/>
                <w:szCs w:val="22"/>
              </w:rPr>
              <w:t>Spesa corrente</w:t>
            </w:r>
          </w:p>
        </w:tc>
        <w:tc>
          <w:tcPr>
            <w:tcW w:w="2086" w:type="dxa"/>
            <w:tcBorders>
              <w:top w:val="single" w:sz="4" w:space="0" w:color="auto"/>
              <w:left w:val="nil"/>
              <w:bottom w:val="single" w:sz="4" w:space="0" w:color="auto"/>
              <w:right w:val="single" w:sz="4" w:space="0" w:color="auto"/>
            </w:tcBorders>
          </w:tcPr>
          <w:p>
            <w:pPr>
              <w:jc w:val="center"/>
              <w:rPr>
                <w:rFonts w:ascii="Arial" w:hAnsi="Arial" w:cs="Arial"/>
                <w:b/>
                <w:color w:val="000000"/>
              </w:rPr>
            </w:pPr>
            <w:r>
              <w:rPr>
                <w:rFonts w:ascii="Arial" w:hAnsi="Arial" w:cs="Arial"/>
                <w:b/>
                <w:color w:val="000000"/>
                <w:sz w:val="22"/>
                <w:szCs w:val="22"/>
              </w:rPr>
              <w:t>Spesa in c/capitale</w:t>
            </w:r>
          </w:p>
        </w:tc>
      </w:tr>
      <w:tr>
        <w:trPr>
          <w:trHeight w:val="300"/>
          <w:jc w:val="center"/>
        </w:trPr>
        <w:tc>
          <w:tcPr>
            <w:tcW w:w="960" w:type="dxa"/>
            <w:tcBorders>
              <w:top w:val="nil"/>
              <w:left w:val="single" w:sz="4" w:space="0" w:color="auto"/>
              <w:bottom w:val="single" w:sz="4" w:space="0" w:color="auto"/>
              <w:right w:val="single" w:sz="4" w:space="0" w:color="auto"/>
            </w:tcBorders>
            <w:noWrap/>
            <w:vAlign w:val="bottom"/>
          </w:tcPr>
          <w:p>
            <w:pPr>
              <w:jc w:val="center"/>
              <w:rPr>
                <w:rFonts w:ascii="Arial" w:hAnsi="Arial" w:cs="Arial"/>
                <w:color w:val="000000"/>
              </w:rPr>
            </w:pPr>
            <w:r>
              <w:rPr>
                <w:rFonts w:ascii="Arial" w:hAnsi="Arial" w:cs="Arial"/>
                <w:color w:val="000000"/>
                <w:sz w:val="22"/>
                <w:szCs w:val="22"/>
              </w:rPr>
              <w:t>2017</w:t>
            </w:r>
          </w:p>
        </w:tc>
        <w:tc>
          <w:tcPr>
            <w:tcW w:w="1500" w:type="dxa"/>
            <w:tcBorders>
              <w:top w:val="nil"/>
              <w:left w:val="nil"/>
              <w:bottom w:val="single" w:sz="4" w:space="0" w:color="auto"/>
              <w:right w:val="single" w:sz="4" w:space="0" w:color="auto"/>
            </w:tcBorders>
            <w:noWrap/>
            <w:vAlign w:val="bottom"/>
          </w:tcPr>
          <w:p>
            <w:pPr>
              <w:jc w:val="center"/>
              <w:rPr>
                <w:rFonts w:ascii="Arial" w:hAnsi="Arial" w:cs="Arial"/>
                <w:color w:val="000000"/>
              </w:rPr>
            </w:pPr>
            <w:r>
              <w:rPr>
                <w:rFonts w:ascii="Arial" w:hAnsi="Arial" w:cs="Arial"/>
                <w:color w:val="000000"/>
              </w:rPr>
              <w:t>42.363,61</w:t>
            </w:r>
          </w:p>
        </w:tc>
        <w:tc>
          <w:tcPr>
            <w:tcW w:w="2086" w:type="dxa"/>
            <w:tcBorders>
              <w:top w:val="nil"/>
              <w:left w:val="nil"/>
              <w:bottom w:val="single" w:sz="4" w:space="0" w:color="auto"/>
              <w:right w:val="single" w:sz="4" w:space="0" w:color="auto"/>
            </w:tcBorders>
            <w:noWrap/>
            <w:vAlign w:val="bottom"/>
          </w:tcPr>
          <w:p>
            <w:pPr>
              <w:jc w:val="center"/>
              <w:rPr>
                <w:rFonts w:ascii="Arial" w:hAnsi="Arial" w:cs="Arial"/>
                <w:color w:val="000000"/>
              </w:rPr>
            </w:pPr>
          </w:p>
        </w:tc>
        <w:tc>
          <w:tcPr>
            <w:tcW w:w="2086" w:type="dxa"/>
            <w:tcBorders>
              <w:top w:val="nil"/>
              <w:left w:val="nil"/>
              <w:bottom w:val="single" w:sz="4" w:space="0" w:color="auto"/>
              <w:right w:val="single" w:sz="4" w:space="0" w:color="auto"/>
            </w:tcBorders>
          </w:tcPr>
          <w:p>
            <w:pPr>
              <w:jc w:val="center"/>
              <w:rPr>
                <w:rFonts w:ascii="Arial" w:hAnsi="Arial" w:cs="Arial"/>
                <w:color w:val="000000"/>
              </w:rPr>
            </w:pPr>
          </w:p>
        </w:tc>
      </w:tr>
      <w:tr>
        <w:trPr>
          <w:trHeight w:val="300"/>
          <w:jc w:val="center"/>
        </w:trPr>
        <w:tc>
          <w:tcPr>
            <w:tcW w:w="960" w:type="dxa"/>
            <w:tcBorders>
              <w:top w:val="nil"/>
              <w:left w:val="single" w:sz="4" w:space="0" w:color="auto"/>
              <w:bottom w:val="single" w:sz="4" w:space="0" w:color="auto"/>
              <w:right w:val="single" w:sz="4" w:space="0" w:color="auto"/>
            </w:tcBorders>
            <w:noWrap/>
            <w:vAlign w:val="bottom"/>
          </w:tcPr>
          <w:p>
            <w:pPr>
              <w:jc w:val="center"/>
              <w:rPr>
                <w:rFonts w:ascii="Arial" w:hAnsi="Arial" w:cs="Arial"/>
                <w:color w:val="000000"/>
              </w:rPr>
            </w:pPr>
            <w:r>
              <w:rPr>
                <w:rFonts w:ascii="Arial" w:hAnsi="Arial" w:cs="Arial"/>
                <w:color w:val="000000"/>
                <w:sz w:val="22"/>
                <w:szCs w:val="22"/>
              </w:rPr>
              <w:t>2018</w:t>
            </w:r>
          </w:p>
        </w:tc>
        <w:tc>
          <w:tcPr>
            <w:tcW w:w="1500" w:type="dxa"/>
            <w:tcBorders>
              <w:top w:val="nil"/>
              <w:left w:val="nil"/>
              <w:bottom w:val="single" w:sz="4" w:space="0" w:color="auto"/>
              <w:right w:val="single" w:sz="4" w:space="0" w:color="auto"/>
            </w:tcBorders>
            <w:noWrap/>
            <w:vAlign w:val="bottom"/>
          </w:tcPr>
          <w:p>
            <w:pPr>
              <w:jc w:val="center"/>
              <w:rPr>
                <w:rFonts w:ascii="Arial" w:hAnsi="Arial" w:cs="Arial"/>
                <w:color w:val="000000"/>
              </w:rPr>
            </w:pPr>
            <w:r>
              <w:rPr>
                <w:rFonts w:ascii="Arial" w:hAnsi="Arial" w:cs="Arial"/>
                <w:color w:val="000000"/>
              </w:rPr>
              <w:t>4.000,00</w:t>
            </w:r>
          </w:p>
        </w:tc>
        <w:tc>
          <w:tcPr>
            <w:tcW w:w="2086" w:type="dxa"/>
            <w:tcBorders>
              <w:top w:val="nil"/>
              <w:left w:val="nil"/>
              <w:bottom w:val="single" w:sz="4" w:space="0" w:color="auto"/>
              <w:right w:val="single" w:sz="4" w:space="0" w:color="auto"/>
            </w:tcBorders>
            <w:noWrap/>
            <w:vAlign w:val="bottom"/>
          </w:tcPr>
          <w:p>
            <w:pPr>
              <w:rPr>
                <w:rFonts w:ascii="Arial" w:hAnsi="Arial" w:cs="Arial"/>
                <w:color w:val="000000"/>
              </w:rPr>
            </w:pPr>
          </w:p>
        </w:tc>
        <w:tc>
          <w:tcPr>
            <w:tcW w:w="2086" w:type="dxa"/>
            <w:tcBorders>
              <w:top w:val="nil"/>
              <w:left w:val="nil"/>
              <w:bottom w:val="single" w:sz="4" w:space="0" w:color="auto"/>
              <w:right w:val="single" w:sz="4" w:space="0" w:color="auto"/>
            </w:tcBorders>
          </w:tcPr>
          <w:p>
            <w:pPr>
              <w:jc w:val="center"/>
              <w:rPr>
                <w:rFonts w:ascii="Arial" w:hAnsi="Arial" w:cs="Arial"/>
                <w:color w:val="000000"/>
              </w:rPr>
            </w:pPr>
          </w:p>
        </w:tc>
      </w:tr>
      <w:tr>
        <w:trPr>
          <w:trHeight w:val="300"/>
          <w:jc w:val="center"/>
        </w:trPr>
        <w:tc>
          <w:tcPr>
            <w:tcW w:w="960" w:type="dxa"/>
            <w:tcBorders>
              <w:top w:val="nil"/>
              <w:left w:val="single" w:sz="4" w:space="0" w:color="auto"/>
              <w:bottom w:val="single" w:sz="4" w:space="0" w:color="auto"/>
              <w:right w:val="single" w:sz="4" w:space="0" w:color="auto"/>
            </w:tcBorders>
            <w:noWrap/>
            <w:vAlign w:val="bottom"/>
          </w:tcPr>
          <w:p>
            <w:pPr>
              <w:jc w:val="center"/>
              <w:rPr>
                <w:rFonts w:ascii="Arial" w:hAnsi="Arial" w:cs="Arial"/>
                <w:color w:val="000000"/>
              </w:rPr>
            </w:pPr>
            <w:r>
              <w:rPr>
                <w:rFonts w:ascii="Arial" w:hAnsi="Arial" w:cs="Arial"/>
                <w:color w:val="000000"/>
                <w:sz w:val="22"/>
                <w:szCs w:val="22"/>
              </w:rPr>
              <w:t>2019</w:t>
            </w:r>
          </w:p>
        </w:tc>
        <w:tc>
          <w:tcPr>
            <w:tcW w:w="1500" w:type="dxa"/>
            <w:tcBorders>
              <w:top w:val="nil"/>
              <w:left w:val="nil"/>
              <w:bottom w:val="single" w:sz="4" w:space="0" w:color="auto"/>
              <w:right w:val="single" w:sz="4" w:space="0" w:color="auto"/>
            </w:tcBorders>
            <w:noWrap/>
            <w:vAlign w:val="bottom"/>
          </w:tcPr>
          <w:p>
            <w:pPr>
              <w:jc w:val="center"/>
              <w:rPr>
                <w:rFonts w:ascii="Arial" w:hAnsi="Arial" w:cs="Arial"/>
                <w:color w:val="000000"/>
              </w:rPr>
            </w:pPr>
            <w:r>
              <w:rPr>
                <w:rFonts w:ascii="Arial" w:hAnsi="Arial" w:cs="Arial"/>
                <w:color w:val="000000"/>
              </w:rPr>
              <w:t>4.000,00</w:t>
            </w:r>
          </w:p>
        </w:tc>
        <w:tc>
          <w:tcPr>
            <w:tcW w:w="2086" w:type="dxa"/>
            <w:tcBorders>
              <w:top w:val="nil"/>
              <w:left w:val="nil"/>
              <w:bottom w:val="single" w:sz="4" w:space="0" w:color="auto"/>
              <w:right w:val="single" w:sz="4" w:space="0" w:color="auto"/>
            </w:tcBorders>
            <w:noWrap/>
            <w:vAlign w:val="bottom"/>
          </w:tcPr>
          <w:p>
            <w:pPr>
              <w:jc w:val="center"/>
              <w:rPr>
                <w:rFonts w:ascii="Arial" w:hAnsi="Arial" w:cs="Arial"/>
                <w:color w:val="000000"/>
              </w:rPr>
            </w:pPr>
          </w:p>
        </w:tc>
        <w:tc>
          <w:tcPr>
            <w:tcW w:w="2086" w:type="dxa"/>
            <w:tcBorders>
              <w:top w:val="nil"/>
              <w:left w:val="nil"/>
              <w:bottom w:val="single" w:sz="4" w:space="0" w:color="auto"/>
              <w:right w:val="single" w:sz="4" w:space="0" w:color="auto"/>
            </w:tcBorders>
          </w:tcPr>
          <w:p>
            <w:pPr>
              <w:jc w:val="center"/>
              <w:rPr>
                <w:rFonts w:ascii="Arial" w:hAnsi="Arial" w:cs="Arial"/>
                <w:color w:val="000000"/>
              </w:rPr>
            </w:pPr>
          </w:p>
        </w:tc>
      </w:tr>
      <w:tr>
        <w:trPr>
          <w:trHeight w:val="300"/>
          <w:jc w:val="center"/>
        </w:trPr>
        <w:tc>
          <w:tcPr>
            <w:tcW w:w="960" w:type="dxa"/>
            <w:tcBorders>
              <w:top w:val="nil"/>
              <w:left w:val="single" w:sz="4" w:space="0" w:color="auto"/>
              <w:bottom w:val="single" w:sz="4" w:space="0" w:color="auto"/>
              <w:right w:val="single" w:sz="4" w:space="0" w:color="auto"/>
            </w:tcBorders>
            <w:noWrap/>
            <w:vAlign w:val="bottom"/>
          </w:tcPr>
          <w:p>
            <w:pPr>
              <w:jc w:val="center"/>
              <w:rPr>
                <w:rFonts w:ascii="Arial" w:hAnsi="Arial" w:cs="Arial"/>
                <w:color w:val="000000"/>
              </w:rPr>
            </w:pPr>
            <w:r>
              <w:rPr>
                <w:rFonts w:ascii="Arial" w:hAnsi="Arial" w:cs="Arial"/>
                <w:color w:val="000000"/>
                <w:sz w:val="22"/>
                <w:szCs w:val="22"/>
              </w:rPr>
              <w:t>2020</w:t>
            </w:r>
          </w:p>
        </w:tc>
        <w:tc>
          <w:tcPr>
            <w:tcW w:w="1500" w:type="dxa"/>
            <w:tcBorders>
              <w:top w:val="nil"/>
              <w:left w:val="nil"/>
              <w:bottom w:val="single" w:sz="4" w:space="0" w:color="auto"/>
              <w:right w:val="single" w:sz="4" w:space="0" w:color="auto"/>
            </w:tcBorders>
            <w:noWrap/>
            <w:vAlign w:val="bottom"/>
          </w:tcPr>
          <w:p>
            <w:pPr>
              <w:jc w:val="center"/>
              <w:rPr>
                <w:rFonts w:ascii="Arial" w:hAnsi="Arial" w:cs="Arial"/>
                <w:color w:val="000000"/>
              </w:rPr>
            </w:pPr>
            <w:r>
              <w:rPr>
                <w:rFonts w:ascii="Arial" w:hAnsi="Arial" w:cs="Arial"/>
                <w:color w:val="000000"/>
              </w:rPr>
              <w:t>4.000,00</w:t>
            </w:r>
          </w:p>
        </w:tc>
        <w:tc>
          <w:tcPr>
            <w:tcW w:w="2086" w:type="dxa"/>
            <w:tcBorders>
              <w:top w:val="nil"/>
              <w:left w:val="nil"/>
              <w:bottom w:val="single" w:sz="4" w:space="0" w:color="auto"/>
              <w:right w:val="single" w:sz="4" w:space="0" w:color="auto"/>
            </w:tcBorders>
            <w:noWrap/>
            <w:vAlign w:val="bottom"/>
          </w:tcPr>
          <w:p>
            <w:pPr>
              <w:jc w:val="center"/>
              <w:rPr>
                <w:rFonts w:ascii="Arial" w:hAnsi="Arial" w:cs="Arial"/>
                <w:color w:val="000000"/>
              </w:rPr>
            </w:pPr>
          </w:p>
        </w:tc>
        <w:tc>
          <w:tcPr>
            <w:tcW w:w="2086" w:type="dxa"/>
            <w:tcBorders>
              <w:top w:val="nil"/>
              <w:left w:val="nil"/>
              <w:bottom w:val="single" w:sz="4" w:space="0" w:color="auto"/>
              <w:right w:val="single" w:sz="4" w:space="0" w:color="auto"/>
            </w:tcBorders>
          </w:tcPr>
          <w:p>
            <w:pPr>
              <w:jc w:val="center"/>
              <w:rPr>
                <w:rFonts w:ascii="Arial" w:hAnsi="Arial" w:cs="Arial"/>
                <w:color w:val="000000"/>
              </w:rPr>
            </w:pPr>
          </w:p>
        </w:tc>
      </w:tr>
    </w:tbl>
    <w:p>
      <w:pPr>
        <w:rPr>
          <w:rFonts w:ascii="Arial" w:hAnsi="Arial" w:cs="Arial"/>
          <w:sz w:val="22"/>
          <w:szCs w:val="22"/>
        </w:rPr>
      </w:pPr>
    </w:p>
    <w:p>
      <w:pPr>
        <w:jc w:val="both"/>
        <w:rPr>
          <w:rFonts w:ascii="Arial" w:hAnsi="Arial" w:cs="Arial"/>
          <w:sz w:val="22"/>
          <w:szCs w:val="22"/>
        </w:rPr>
      </w:pPr>
      <w:r>
        <w:rPr>
          <w:rFonts w:ascii="Arial" w:hAnsi="Arial" w:cs="Arial"/>
          <w:sz w:val="22"/>
          <w:szCs w:val="22"/>
        </w:rPr>
        <w:t>La legge n.232/2016 ha previsto che dal 1/1/2018 le entrate da titoli abitativi e relative sanzioni siano destinati esclusivamente e senza vincoli temporali a:</w:t>
      </w:r>
    </w:p>
    <w:p>
      <w:pPr>
        <w:pStyle w:val="Paragrafoelenco"/>
        <w:numPr>
          <w:ilvl w:val="0"/>
          <w:numId w:val="16"/>
        </w:numPr>
        <w:jc w:val="both"/>
        <w:rPr>
          <w:rFonts w:ascii="Arial" w:hAnsi="Arial" w:cs="Arial"/>
          <w:sz w:val="22"/>
          <w:szCs w:val="22"/>
        </w:rPr>
      </w:pPr>
      <w:r>
        <w:rPr>
          <w:rFonts w:ascii="Arial" w:hAnsi="Arial" w:cs="Arial"/>
          <w:sz w:val="22"/>
          <w:szCs w:val="22"/>
        </w:rPr>
        <w:t>realizzazione e manutenzione ordinaria e straordinaria delle opere di urbanizzazione primaria e secondaria;</w:t>
      </w:r>
    </w:p>
    <w:p>
      <w:pPr>
        <w:pStyle w:val="Paragrafoelenco"/>
        <w:numPr>
          <w:ilvl w:val="0"/>
          <w:numId w:val="16"/>
        </w:numPr>
        <w:jc w:val="both"/>
        <w:rPr>
          <w:rFonts w:ascii="Arial" w:hAnsi="Arial" w:cs="Arial"/>
          <w:sz w:val="22"/>
          <w:szCs w:val="22"/>
        </w:rPr>
      </w:pPr>
      <w:r>
        <w:rPr>
          <w:rFonts w:ascii="Arial" w:hAnsi="Arial" w:cs="Arial"/>
          <w:sz w:val="22"/>
          <w:szCs w:val="22"/>
        </w:rPr>
        <w:t>risanamento di complessi edilizi compresi nei centri storici e nelle periferie degradate;</w:t>
      </w:r>
    </w:p>
    <w:p>
      <w:pPr>
        <w:pStyle w:val="Paragrafoelenco"/>
        <w:numPr>
          <w:ilvl w:val="0"/>
          <w:numId w:val="16"/>
        </w:numPr>
        <w:jc w:val="both"/>
        <w:rPr>
          <w:rFonts w:ascii="Arial" w:hAnsi="Arial" w:cs="Arial"/>
          <w:sz w:val="22"/>
          <w:szCs w:val="22"/>
        </w:rPr>
      </w:pPr>
      <w:r>
        <w:rPr>
          <w:rFonts w:ascii="Arial" w:hAnsi="Arial" w:cs="Arial"/>
          <w:sz w:val="22"/>
          <w:szCs w:val="22"/>
        </w:rPr>
        <w:t>interventi di riuso e di rigenerazione;</w:t>
      </w:r>
    </w:p>
    <w:p>
      <w:pPr>
        <w:pStyle w:val="Paragrafoelenco"/>
        <w:numPr>
          <w:ilvl w:val="0"/>
          <w:numId w:val="16"/>
        </w:numPr>
        <w:jc w:val="both"/>
        <w:rPr>
          <w:rFonts w:ascii="Arial" w:hAnsi="Arial" w:cs="Arial"/>
          <w:sz w:val="22"/>
          <w:szCs w:val="22"/>
        </w:rPr>
      </w:pPr>
      <w:r>
        <w:rPr>
          <w:rFonts w:ascii="Arial" w:hAnsi="Arial" w:cs="Arial"/>
          <w:sz w:val="22"/>
          <w:szCs w:val="22"/>
        </w:rPr>
        <w:t>interventi di demolizione di costruzioni abusive;</w:t>
      </w:r>
    </w:p>
    <w:p>
      <w:pPr>
        <w:pStyle w:val="Paragrafoelenco"/>
        <w:numPr>
          <w:ilvl w:val="0"/>
          <w:numId w:val="16"/>
        </w:numPr>
        <w:jc w:val="both"/>
        <w:rPr>
          <w:rFonts w:ascii="Arial" w:hAnsi="Arial" w:cs="Arial"/>
          <w:sz w:val="22"/>
          <w:szCs w:val="22"/>
        </w:rPr>
      </w:pPr>
      <w:r>
        <w:rPr>
          <w:rFonts w:ascii="Arial" w:hAnsi="Arial" w:cs="Arial"/>
          <w:sz w:val="22"/>
          <w:szCs w:val="22"/>
        </w:rPr>
        <w:t>acquisizione e realizzazione di aree verdi destinate ad uso pubblico;</w:t>
      </w:r>
    </w:p>
    <w:p>
      <w:pPr>
        <w:pStyle w:val="Paragrafoelenco"/>
        <w:numPr>
          <w:ilvl w:val="0"/>
          <w:numId w:val="16"/>
        </w:numPr>
        <w:jc w:val="both"/>
        <w:rPr>
          <w:rFonts w:ascii="Arial" w:hAnsi="Arial" w:cs="Arial"/>
          <w:sz w:val="22"/>
          <w:szCs w:val="22"/>
        </w:rPr>
      </w:pPr>
      <w:r>
        <w:rPr>
          <w:rFonts w:ascii="Arial" w:hAnsi="Arial" w:cs="Arial"/>
          <w:sz w:val="22"/>
          <w:szCs w:val="22"/>
        </w:rPr>
        <w:t>interventi di tutela e riqualificazione dell’ambiente e del paesaggio, anche ai fini della prevenzione e della mitigazione del rischio idrogeologico e sismico e della tutela e riqualificazione del patrimonio rurale pubblico;</w:t>
      </w:r>
    </w:p>
    <w:p>
      <w:pPr>
        <w:pStyle w:val="Paragrafoelenco"/>
        <w:numPr>
          <w:ilvl w:val="0"/>
          <w:numId w:val="16"/>
        </w:numPr>
        <w:jc w:val="both"/>
        <w:rPr>
          <w:rFonts w:ascii="Arial" w:hAnsi="Arial" w:cs="Arial"/>
          <w:sz w:val="22"/>
          <w:szCs w:val="22"/>
        </w:rPr>
      </w:pPr>
      <w:r>
        <w:rPr>
          <w:rFonts w:ascii="Arial" w:hAnsi="Arial" w:cs="Arial"/>
          <w:sz w:val="22"/>
          <w:szCs w:val="22"/>
        </w:rPr>
        <w:t>interventi volti a favorire l’insediamento di attività di agricoltura in ambito urbano;</w:t>
      </w:r>
    </w:p>
    <w:p>
      <w:pPr>
        <w:pStyle w:val="Paragrafoelenco"/>
        <w:numPr>
          <w:ilvl w:val="0"/>
          <w:numId w:val="16"/>
        </w:numPr>
        <w:jc w:val="both"/>
        <w:rPr>
          <w:rFonts w:ascii="Arial" w:hAnsi="Arial" w:cs="Arial"/>
          <w:sz w:val="22"/>
          <w:szCs w:val="22"/>
        </w:rPr>
      </w:pPr>
      <w:r>
        <w:rPr>
          <w:rFonts w:ascii="Arial" w:hAnsi="Arial" w:cs="Arial"/>
          <w:sz w:val="22"/>
          <w:szCs w:val="22"/>
        </w:rPr>
        <w:t>spese di progettazione.</w:t>
      </w:r>
    </w:p>
    <w:p>
      <w:pPr>
        <w:numPr>
          <w:ilvl w:val="12"/>
          <w:numId w:val="0"/>
        </w:numPr>
        <w:rPr>
          <w:rFonts w:ascii="Arial" w:hAnsi="Arial" w:cs="Arial"/>
          <w:sz w:val="20"/>
        </w:rPr>
      </w:pPr>
    </w:p>
    <w:p>
      <w:pPr>
        <w:numPr>
          <w:ilvl w:val="12"/>
          <w:numId w:val="0"/>
        </w:numPr>
        <w:rPr>
          <w:rFonts w:ascii="Arial" w:hAnsi="Arial" w:cs="Arial"/>
          <w:sz w:val="20"/>
        </w:rPr>
      </w:pPr>
    </w:p>
    <w:p>
      <w:pPr>
        <w:numPr>
          <w:ilvl w:val="12"/>
          <w:numId w:val="0"/>
        </w:numPr>
        <w:jc w:val="both"/>
        <w:rPr>
          <w:rFonts w:ascii="Arial" w:hAnsi="Arial" w:cs="Arial"/>
          <w:sz w:val="22"/>
          <w:szCs w:val="22"/>
        </w:rPr>
      </w:pPr>
      <w:r>
        <w:rPr>
          <w:rFonts w:ascii="Arial" w:hAnsi="Arial" w:cs="Arial"/>
          <w:sz w:val="22"/>
          <w:szCs w:val="22"/>
        </w:rPr>
        <w:t>L'Organo di revisione ha verificato il rispetto dei vincoli di destinazione previsti dalla suddetta normativa.</w:t>
      </w:r>
    </w:p>
    <w:p>
      <w:pPr>
        <w:numPr>
          <w:ilvl w:val="12"/>
          <w:numId w:val="0"/>
        </w:numPr>
        <w:jc w:val="both"/>
        <w:rPr>
          <w:rFonts w:ascii="Arial" w:hAnsi="Arial" w:cs="Arial"/>
          <w:sz w:val="20"/>
        </w:rPr>
      </w:pPr>
    </w:p>
    <w:p>
      <w:pPr>
        <w:numPr>
          <w:ilvl w:val="12"/>
          <w:numId w:val="0"/>
        </w:numPr>
        <w:rPr>
          <w:rFonts w:ascii="Arial" w:hAnsi="Arial" w:cs="Arial"/>
          <w:sz w:val="20"/>
        </w:rPr>
      </w:pPr>
    </w:p>
    <w:p>
      <w:pPr>
        <w:numPr>
          <w:ilvl w:val="12"/>
          <w:numId w:val="0"/>
        </w:numPr>
        <w:rPr>
          <w:rFonts w:ascii="Arial" w:hAnsi="Arial" w:cs="Arial"/>
          <w:sz w:val="20"/>
        </w:rPr>
      </w:pPr>
    </w:p>
    <w:p>
      <w:pPr>
        <w:pStyle w:val="Titolo3"/>
      </w:pPr>
      <w:bookmarkStart w:id="44" w:name="_Toc500328697"/>
      <w:r>
        <w:t>Sanzioni amministrative da codice della strada</w:t>
      </w:r>
      <w:bookmarkEnd w:id="44"/>
    </w:p>
    <w:p>
      <w:pPr>
        <w:numPr>
          <w:ilvl w:val="12"/>
          <w:numId w:val="0"/>
        </w:numPr>
        <w:spacing w:after="120"/>
        <w:jc w:val="both"/>
        <w:rPr>
          <w:rFonts w:ascii="Arial" w:hAnsi="Arial" w:cs="Arial"/>
          <w:sz w:val="22"/>
          <w:szCs w:val="22"/>
        </w:rPr>
      </w:pPr>
    </w:p>
    <w:p>
      <w:pPr>
        <w:numPr>
          <w:ilvl w:val="12"/>
          <w:numId w:val="0"/>
        </w:numPr>
        <w:spacing w:after="120"/>
        <w:jc w:val="both"/>
        <w:rPr>
          <w:rFonts w:ascii="Arial" w:hAnsi="Arial" w:cs="Arial"/>
          <w:sz w:val="22"/>
          <w:szCs w:val="22"/>
        </w:rPr>
      </w:pPr>
      <w:r>
        <w:rPr>
          <w:rFonts w:ascii="Arial" w:hAnsi="Arial" w:cs="Arial"/>
          <w:sz w:val="22"/>
          <w:szCs w:val="22"/>
        </w:rPr>
        <w:t>I proventi da sanzioni amministrative in bilancio non sono previsti importi.</w:t>
      </w:r>
    </w:p>
    <w:p>
      <w:pPr>
        <w:pStyle w:val="Titolo3"/>
      </w:pPr>
      <w:bookmarkStart w:id="45" w:name="_Toc500328699"/>
    </w:p>
    <w:p>
      <w:pPr>
        <w:pStyle w:val="Titolo3"/>
      </w:pPr>
    </w:p>
    <w:p>
      <w:pPr>
        <w:pStyle w:val="Titolo3"/>
      </w:pPr>
      <w:r>
        <w:t>Proventi dei servizi pubblici</w:t>
      </w:r>
      <w:bookmarkEnd w:id="45"/>
    </w:p>
    <w:p>
      <w:pPr>
        <w:rPr>
          <w:rFonts w:ascii="Arial" w:hAnsi="Arial" w:cs="Arial"/>
          <w:b/>
          <w:u w:val="single"/>
        </w:rPr>
      </w:pPr>
    </w:p>
    <w:p>
      <w:pPr>
        <w:rPr>
          <w:rFonts w:ascii="Arial" w:hAnsi="Arial" w:cs="Arial"/>
          <w:b/>
          <w:u w:val="single"/>
        </w:rPr>
      </w:pPr>
    </w:p>
    <w:p>
      <w:pPr>
        <w:jc w:val="both"/>
        <w:rPr>
          <w:rFonts w:ascii="Arial" w:hAnsi="Arial" w:cs="Arial"/>
          <w:sz w:val="22"/>
          <w:szCs w:val="22"/>
        </w:rPr>
      </w:pPr>
      <w:r>
        <w:rPr>
          <w:rFonts w:ascii="Arial" w:hAnsi="Arial" w:cs="Arial"/>
          <w:sz w:val="22"/>
          <w:szCs w:val="22"/>
        </w:rPr>
        <w:t>L’ente considerato che non è in situazione strutturalmente deficitaria come stabilito dall’art. 242 del Testo Unico Enti Locali non deve osservare nessuna percentuale di copertura minima e con delibera della Giunta Comunale n.04 del 14/02/2018 ha stabilito le tariffe e le aliquote dei servizi e tasse comunali.</w:t>
      </w:r>
    </w:p>
    <w:p>
      <w:pPr>
        <w:pStyle w:val="Titolo2"/>
      </w:pPr>
      <w:bookmarkStart w:id="46" w:name="_Toc346838832"/>
    </w:p>
    <w:p/>
    <w:p/>
    <w:p/>
    <w:p/>
    <w:p/>
    <w:p/>
    <w:p/>
    <w:p/>
    <w:p>
      <w:pPr>
        <w:pStyle w:val="Titolo2"/>
      </w:pPr>
      <w:bookmarkStart w:id="47" w:name="_Toc500328700"/>
      <w:r>
        <w:lastRenderedPageBreak/>
        <w:t>B) SPESE PER TITOLI E MACROAGGREGATI</w:t>
      </w:r>
      <w:bookmarkEnd w:id="46"/>
      <w:bookmarkEnd w:id="47"/>
    </w:p>
    <w:p>
      <w:pPr>
        <w:rPr>
          <w:rFonts w:ascii="Arial" w:hAnsi="Arial" w:cs="Arial"/>
          <w:sz w:val="22"/>
          <w:szCs w:val="22"/>
        </w:rPr>
      </w:pPr>
    </w:p>
    <w:p>
      <w:pPr>
        <w:jc w:val="both"/>
        <w:rPr>
          <w:rFonts w:ascii="Arial" w:hAnsi="Arial" w:cs="Arial"/>
          <w:sz w:val="22"/>
          <w:szCs w:val="22"/>
        </w:rPr>
      </w:pPr>
      <w:r>
        <w:rPr>
          <w:rFonts w:ascii="Arial" w:hAnsi="Arial" w:cs="Arial"/>
          <w:sz w:val="22"/>
          <w:szCs w:val="22"/>
        </w:rPr>
        <w:t>Le previsioni degli esercizi 2018-2020 per macroaggregati di spesa corrente confrontate con la spesa risultante dalla previsione definitiva 2017 è la seguente:</w:t>
      </w:r>
    </w:p>
    <w:p>
      <w:pPr>
        <w:rPr>
          <w:rFonts w:ascii="Arial" w:hAnsi="Arial" w:cs="Arial"/>
          <w:sz w:val="22"/>
          <w:szCs w:val="22"/>
        </w:rPr>
      </w:pPr>
    </w:p>
    <w:p>
      <w:pPr>
        <w:rPr>
          <w:rFonts w:ascii="Arial" w:hAnsi="Arial" w:cs="Arial"/>
          <w:i/>
          <w:sz w:val="22"/>
          <w:szCs w:val="22"/>
          <w:u w:val="single"/>
        </w:rPr>
      </w:pPr>
      <w:r>
        <w:rPr>
          <w:rFonts w:ascii="Arial" w:hAnsi="Arial" w:cs="Arial"/>
          <w:i/>
          <w:sz w:val="22"/>
          <w:szCs w:val="22"/>
          <w:u w:val="single"/>
        </w:rPr>
        <w:t>Sviluppo previsione per aggregati di spesa:</w:t>
      </w:r>
    </w:p>
    <w:p>
      <w:pPr>
        <w:spacing w:after="120"/>
        <w:jc w:val="both"/>
        <w:rPr>
          <w:rFonts w:ascii="Arial" w:hAnsi="Arial" w:cs="Arial"/>
          <w:b/>
          <w:i/>
          <w:color w:val="0000FF"/>
          <w:sz w:val="18"/>
          <w:szCs w:val="18"/>
        </w:rPr>
      </w:pPr>
      <w:bookmarkStart w:id="48" w:name="_MON_1513321737"/>
      <w:bookmarkEnd w:id="48"/>
    </w:p>
    <w:bookmarkStart w:id="49" w:name="_MON_1580709929"/>
    <w:bookmarkEnd w:id="49"/>
    <w:p>
      <w:pPr>
        <w:spacing w:after="120"/>
        <w:jc w:val="both"/>
        <w:rPr>
          <w:rFonts w:ascii="Arial" w:hAnsi="Arial" w:cs="Arial"/>
          <w:sz w:val="22"/>
          <w:szCs w:val="22"/>
        </w:rPr>
      </w:pPr>
      <w:r>
        <w:rPr>
          <w:rFonts w:ascii="Arial" w:hAnsi="Arial" w:cs="Arial"/>
          <w:sz w:val="22"/>
          <w:szCs w:val="22"/>
        </w:rPr>
        <w:object w:dxaOrig="9937" w:dyaOrig="3499">
          <v:shape id="_x0000_i1033" type="#_x0000_t75" style="width:496.5pt;height:173.25pt" o:ole="">
            <v:imagedata r:id="rId33" o:title=""/>
          </v:shape>
          <o:OLEObject Type="Embed" ProgID="Excel.Sheet.12" ShapeID="_x0000_i1033" DrawAspect="Content" ObjectID="_1580719622" r:id="rId34"/>
        </w:object>
      </w:r>
    </w:p>
    <w:p>
      <w:pPr>
        <w:spacing w:after="120"/>
        <w:jc w:val="both"/>
        <w:rPr>
          <w:rFonts w:ascii="Arial" w:hAnsi="Arial" w:cs="Arial"/>
          <w:sz w:val="22"/>
          <w:szCs w:val="22"/>
        </w:rPr>
      </w:pPr>
    </w:p>
    <w:p>
      <w:pPr>
        <w:pStyle w:val="Titolo3"/>
      </w:pPr>
      <w:bookmarkStart w:id="50" w:name="_Toc500328701"/>
      <w:r>
        <w:t>Spese di personale</w:t>
      </w:r>
      <w:bookmarkEnd w:id="50"/>
    </w:p>
    <w:p>
      <w:pPr>
        <w:tabs>
          <w:tab w:val="left" w:pos="720"/>
        </w:tabs>
        <w:rPr>
          <w:rFonts w:ascii="Arial" w:hAnsi="Arial" w:cs="Arial"/>
          <w:i/>
          <w:sz w:val="22"/>
          <w:szCs w:val="22"/>
        </w:rPr>
      </w:pPr>
    </w:p>
    <w:p>
      <w:pPr>
        <w:jc w:val="both"/>
        <w:rPr>
          <w:rFonts w:ascii="Arial" w:hAnsi="Arial" w:cs="Arial"/>
          <w:sz w:val="22"/>
          <w:szCs w:val="22"/>
        </w:rPr>
      </w:pPr>
      <w:r>
        <w:rPr>
          <w:rFonts w:ascii="Arial" w:hAnsi="Arial" w:cs="Arial"/>
          <w:sz w:val="22"/>
          <w:szCs w:val="22"/>
        </w:rPr>
        <w:t xml:space="preserve">La spesa per redditi di lavoro dipendente prevista per gli esercizi 2018-2020, tiene conto della programmazione del fabbisogno, del piano delle assunzioni. </w:t>
      </w:r>
    </w:p>
    <w:p>
      <w:pPr>
        <w:rPr>
          <w:rFonts w:ascii="Arial" w:hAnsi="Arial" w:cs="Arial"/>
          <w:sz w:val="22"/>
          <w:szCs w:val="22"/>
        </w:rPr>
      </w:pPr>
      <w:r>
        <w:rPr>
          <w:rFonts w:ascii="Arial" w:hAnsi="Arial" w:cs="Arial"/>
          <w:sz w:val="22"/>
          <w:szCs w:val="22"/>
        </w:rPr>
        <w:t xml:space="preserve">Tali spese sono così distinte ed hanno la seguente incidenza: </w:t>
      </w:r>
    </w:p>
    <w:p>
      <w:pPr>
        <w:rPr>
          <w:rFonts w:ascii="Arial" w:hAnsi="Arial" w:cs="Arial"/>
          <w:sz w:val="22"/>
          <w:szCs w:val="22"/>
        </w:rPr>
      </w:pPr>
    </w:p>
    <w:bookmarkStart w:id="51" w:name="_MON_1580710299"/>
    <w:bookmarkEnd w:id="51"/>
    <w:p>
      <w:pPr>
        <w:rPr>
          <w:rFonts w:ascii="Arial" w:hAnsi="Arial" w:cs="Arial"/>
          <w:sz w:val="22"/>
          <w:szCs w:val="22"/>
        </w:rPr>
      </w:pPr>
      <w:r>
        <w:rPr>
          <w:rFonts w:ascii="Arial" w:hAnsi="Arial" w:cs="Arial"/>
          <w:sz w:val="22"/>
          <w:szCs w:val="22"/>
        </w:rPr>
        <w:object w:dxaOrig="10312" w:dyaOrig="4134">
          <v:shape id="_x0000_i1034" type="#_x0000_t75" style="width:510.75pt;height:207pt" o:ole="">
            <v:imagedata r:id="rId35" o:title=""/>
          </v:shape>
          <o:OLEObject Type="Embed" ProgID="Excel.Sheet.12" ShapeID="_x0000_i1034" DrawAspect="Content" ObjectID="_1580719623" r:id="rId36"/>
        </w:object>
      </w: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La previsione per gli anni 2018, 2019 e 2020 è inferiore alla spesa media del triennio 2011/2013 </w:t>
      </w:r>
      <w:r>
        <w:rPr>
          <w:rFonts w:ascii="Arial" w:hAnsi="Arial" w:cs="Arial"/>
          <w:i/>
          <w:sz w:val="22"/>
          <w:szCs w:val="22"/>
        </w:rPr>
        <w:t xml:space="preserve"> </w:t>
      </w:r>
      <w:r>
        <w:rPr>
          <w:rFonts w:ascii="Arial" w:hAnsi="Arial" w:cs="Arial"/>
          <w:sz w:val="22"/>
          <w:szCs w:val="22"/>
        </w:rPr>
        <w:t>che era pari a euro 236.450,13</w:t>
      </w:r>
    </w:p>
    <w:p>
      <w:pPr>
        <w:jc w:val="both"/>
        <w:rPr>
          <w:rFonts w:ascii="Arial" w:hAnsi="Arial" w:cs="Arial"/>
          <w:sz w:val="22"/>
          <w:szCs w:val="22"/>
        </w:rPr>
      </w:pPr>
    </w:p>
    <w:p>
      <w:pPr>
        <w:jc w:val="both"/>
        <w:rPr>
          <w:rFonts w:ascii="Arial" w:hAnsi="Arial" w:cs="Arial"/>
          <w:b/>
          <w:i/>
          <w:sz w:val="22"/>
          <w:szCs w:val="22"/>
        </w:rPr>
      </w:pPr>
    </w:p>
    <w:p>
      <w:pPr>
        <w:jc w:val="both"/>
        <w:rPr>
          <w:rFonts w:ascii="Arial" w:hAnsi="Arial" w:cs="Arial"/>
          <w:b/>
          <w:i/>
          <w:sz w:val="22"/>
          <w:szCs w:val="22"/>
        </w:rPr>
      </w:pPr>
    </w:p>
    <w:p>
      <w:pPr>
        <w:jc w:val="both"/>
        <w:rPr>
          <w:rFonts w:ascii="Arial" w:hAnsi="Arial" w:cs="Arial"/>
          <w:b/>
          <w:i/>
          <w:sz w:val="22"/>
          <w:szCs w:val="22"/>
        </w:rPr>
      </w:pPr>
    </w:p>
    <w:p>
      <w:pPr>
        <w:rPr>
          <w:rFonts w:ascii="Arial" w:hAnsi="Arial" w:cs="Arial"/>
          <w:i/>
          <w:sz w:val="16"/>
          <w:szCs w:val="16"/>
        </w:rPr>
      </w:pPr>
    </w:p>
    <w:p>
      <w:pPr>
        <w:pStyle w:val="Titolo3"/>
      </w:pPr>
      <w:bookmarkStart w:id="52" w:name="_Toc500328702"/>
      <w:r>
        <w:lastRenderedPageBreak/>
        <w:t>Spese per incarichi di collaborazione autonoma</w:t>
      </w:r>
      <w:bookmarkEnd w:id="52"/>
      <w:r>
        <w:t xml:space="preserve"> </w:t>
      </w:r>
    </w:p>
    <w:p>
      <w:pPr>
        <w:rPr>
          <w:rFonts w:ascii="Arial" w:hAnsi="Arial" w:cs="Arial"/>
          <w:sz w:val="22"/>
          <w:szCs w:val="22"/>
        </w:rPr>
      </w:pPr>
      <w:r>
        <w:rPr>
          <w:rFonts w:ascii="Arial" w:hAnsi="Arial" w:cs="Arial"/>
          <w:sz w:val="22"/>
          <w:szCs w:val="22"/>
        </w:rPr>
        <w:t>(art.7 comma 6, D. Lgs. 165/2001)</w:t>
      </w:r>
    </w:p>
    <w:p>
      <w:pPr>
        <w:jc w:val="both"/>
        <w:rPr>
          <w:rFonts w:ascii="Arial" w:hAnsi="Arial" w:cs="Arial"/>
          <w:sz w:val="22"/>
          <w:szCs w:val="22"/>
        </w:rPr>
      </w:pPr>
    </w:p>
    <w:p>
      <w:pPr>
        <w:jc w:val="both"/>
        <w:rPr>
          <w:rFonts w:ascii="Arial" w:hAnsi="Arial" w:cs="Arial"/>
          <w:i/>
          <w:sz w:val="18"/>
          <w:szCs w:val="18"/>
        </w:rPr>
      </w:pPr>
      <w:r>
        <w:rPr>
          <w:rFonts w:ascii="Arial" w:hAnsi="Arial" w:cs="Arial"/>
          <w:sz w:val="22"/>
          <w:szCs w:val="22"/>
        </w:rPr>
        <w:t>Non sono previste in bilancio per incarichi di collaborazione autonoma per gli anni 2018-2020. I contratti di collaborazione potranno essere stipulati con riferimento alle attività istituzionali stabilite dalla Legge e con riferimento al programma sottoposto all’approvazione del Consiglio</w:t>
      </w:r>
      <w:r>
        <w:rPr>
          <w:rFonts w:ascii="Arial" w:hAnsi="Arial" w:cs="Arial"/>
          <w:i/>
          <w:sz w:val="18"/>
          <w:szCs w:val="18"/>
        </w:rPr>
        <w:t>.</w:t>
      </w:r>
    </w:p>
    <w:p>
      <w:pPr>
        <w:jc w:val="both"/>
        <w:rPr>
          <w:rFonts w:ascii="Arial" w:hAnsi="Arial" w:cs="Arial"/>
          <w:sz w:val="22"/>
          <w:szCs w:val="22"/>
        </w:rPr>
      </w:pPr>
      <w:r>
        <w:rPr>
          <w:rFonts w:ascii="Arial" w:hAnsi="Arial" w:cs="Arial"/>
          <w:sz w:val="22"/>
          <w:szCs w:val="22"/>
        </w:rPr>
        <w:t>L’ente ha provveduto all’aggiornamento del regolamento per gli incarichi di collaborazione autonoma sulla base delle disposizioni introdotte dall’art. 46 del D.L. 25 giugno 2008 n. 112, e a trasmetterlo entro 30 giorni alla Sezione regionale di controllo della Corte dei Conti.</w:t>
      </w:r>
    </w:p>
    <w:p>
      <w:pPr>
        <w:jc w:val="both"/>
        <w:rPr>
          <w:rFonts w:ascii="Arial" w:hAnsi="Arial" w:cs="Arial"/>
          <w:b/>
          <w:i/>
          <w:color w:val="0070C0"/>
          <w:sz w:val="20"/>
          <w:szCs w:val="18"/>
        </w:rPr>
      </w:pPr>
      <w:r>
        <w:rPr>
          <w:rFonts w:ascii="Arial" w:hAnsi="Arial" w:cs="Arial"/>
          <w:sz w:val="22"/>
          <w:szCs w:val="22"/>
        </w:rPr>
        <w:t xml:space="preserve">L’ente pubblica regolarmente nel sito istituzionale i provvedimenti di incarico con l’indicazione dei soggetti percettori, della ragione dell’incarico e del compenso. </w:t>
      </w:r>
    </w:p>
    <w:p>
      <w:pPr>
        <w:pStyle w:val="Titolo3"/>
      </w:pPr>
    </w:p>
    <w:p/>
    <w:p>
      <w:pPr>
        <w:pStyle w:val="Titolo3"/>
      </w:pPr>
      <w:bookmarkStart w:id="53" w:name="_Toc500328703"/>
      <w:r>
        <w:t>Spese per acquisto beni e servizi</w:t>
      </w:r>
      <w:bookmarkEnd w:id="53"/>
      <w:r>
        <w:t xml:space="preserve"> </w:t>
      </w:r>
    </w:p>
    <w:p>
      <w:pPr>
        <w:pStyle w:val="Corpodeltesto3"/>
        <w:spacing w:before="120"/>
        <w:rPr>
          <w:rFonts w:cs="Arial"/>
          <w:sz w:val="22"/>
          <w:szCs w:val="22"/>
        </w:rPr>
      </w:pPr>
      <w:r>
        <w:rPr>
          <w:rFonts w:cs="Arial"/>
          <w:sz w:val="22"/>
          <w:szCs w:val="22"/>
        </w:rPr>
        <w:t>La previsione di spesa tiene conto dei vincoli posti dal saldo di finanza pubblica, dal piano triennale di contenimento delle spese di cui all’art. 2, commi da 594 a 599 della Legge 244/2007, delle riduzioni di spesa disposte dall’art. 6 del D.L. 78/2010 e di quelle dell’art. 1, commi 146 e 147 della Legge 24/12/2012 n. 228.</w:t>
      </w:r>
    </w:p>
    <w:p>
      <w:pPr>
        <w:pStyle w:val="Titolo3"/>
        <w:rPr>
          <w:szCs w:val="22"/>
        </w:rPr>
      </w:pPr>
      <w:bookmarkStart w:id="54" w:name="_Toc500328704"/>
    </w:p>
    <w:p>
      <w:pPr>
        <w:pStyle w:val="Titolo3"/>
        <w:rPr>
          <w:szCs w:val="22"/>
        </w:rPr>
      </w:pPr>
    </w:p>
    <w:p>
      <w:pPr>
        <w:pStyle w:val="Titolo3"/>
        <w:rPr>
          <w:szCs w:val="22"/>
        </w:rPr>
      </w:pPr>
      <w:r>
        <w:rPr>
          <w:szCs w:val="22"/>
        </w:rPr>
        <w:t>Fondo crediti di dubbia esigibilità (FCDE)</w:t>
      </w:r>
      <w:bookmarkEnd w:id="54"/>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La dimostrazione della quota accantonata a FCDE nel bilancio 2018-2020 è evidenziata nei prospetti che seguono per singola tipologia di entrata. </w:t>
      </w:r>
    </w:p>
    <w:p>
      <w:pPr>
        <w:jc w:val="both"/>
        <w:rPr>
          <w:rFonts w:ascii="Arial" w:hAnsi="Arial" w:cs="Arial"/>
          <w:sz w:val="22"/>
          <w:szCs w:val="22"/>
        </w:rPr>
      </w:pPr>
      <w:r>
        <w:rPr>
          <w:rFonts w:ascii="Arial" w:hAnsi="Arial" w:cs="Arial"/>
          <w:sz w:val="22"/>
          <w:szCs w:val="22"/>
        </w:rPr>
        <w:t xml:space="preserve">Il FCDE è determinato applicando all’importo complessivo degli stanziamenti di ciascuna delle entrate una percentuale pari al complemento a 100 delle medie calcolate come di seguito specificato. </w:t>
      </w:r>
    </w:p>
    <w:p>
      <w:pPr>
        <w:tabs>
          <w:tab w:val="left" w:pos="284"/>
        </w:tabs>
        <w:ind w:right="-1"/>
        <w:jc w:val="both"/>
        <w:rPr>
          <w:rFonts w:ascii="Arial" w:hAnsi="Arial" w:cs="Arial"/>
          <w:sz w:val="22"/>
          <w:szCs w:val="22"/>
        </w:rPr>
      </w:pPr>
      <w:r>
        <w:rPr>
          <w:rFonts w:ascii="Arial" w:hAnsi="Arial" w:cs="Arial"/>
          <w:sz w:val="22"/>
          <w:szCs w:val="22"/>
        </w:rPr>
        <w:t>I calcoli sono stati effettuati applicando al rapporto tra gli incassi in c/competenza e gli accertamenti degli ultimi 5 esercizi, il seguente metodo della media semplice (sia la media fra totale incassato e totale accertato, sia la media dei rapporti annui).</w:t>
      </w:r>
    </w:p>
    <w:p>
      <w:pPr>
        <w:tabs>
          <w:tab w:val="left" w:pos="284"/>
        </w:tabs>
        <w:ind w:right="-285"/>
        <w:jc w:val="both"/>
        <w:rPr>
          <w:rFonts w:ascii="Arial" w:hAnsi="Arial" w:cs="Arial"/>
          <w:color w:val="00B0F0"/>
          <w:sz w:val="22"/>
          <w:szCs w:val="22"/>
        </w:rPr>
      </w:pPr>
    </w:p>
    <w:p>
      <w:pPr>
        <w:tabs>
          <w:tab w:val="left" w:pos="284"/>
        </w:tabs>
        <w:ind w:right="-1"/>
        <w:jc w:val="both"/>
        <w:rPr>
          <w:rFonts w:ascii="Arial" w:hAnsi="Arial" w:cs="Arial"/>
          <w:sz w:val="22"/>
          <w:szCs w:val="22"/>
        </w:rPr>
      </w:pPr>
      <w:r>
        <w:rPr>
          <w:rFonts w:ascii="Arial" w:hAnsi="Arial" w:cs="Arial"/>
          <w:sz w:val="22"/>
          <w:szCs w:val="22"/>
        </w:rPr>
        <w:t>L’accantonamento al fondo crediti di dubbia esigibilità non è oggetto d’impegno e genera un’economia di bilancio che confluisce nel risultato di amministrazione come quota accantonata.</w:t>
      </w: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L’Organo di revisione ha accertato la regolarità del calcolo per quanto riguarda l’accantonamento obbligatorio al fondo crediti di dubbia esigibilità, mentre l’accantonamento effettivo come risulta nel prospetto allegato non è esatto, in quanto in bilancio l’accantonamento al FCDE di parte corrente risulta:</w:t>
      </w:r>
    </w:p>
    <w:p>
      <w:pPr>
        <w:numPr>
          <w:ilvl w:val="0"/>
          <w:numId w:val="16"/>
        </w:numPr>
        <w:jc w:val="both"/>
        <w:rPr>
          <w:rFonts w:ascii="Arial" w:hAnsi="Arial" w:cs="Arial"/>
          <w:sz w:val="22"/>
          <w:szCs w:val="22"/>
        </w:rPr>
      </w:pPr>
      <w:r>
        <w:rPr>
          <w:rFonts w:ascii="Arial" w:hAnsi="Arial" w:cs="Arial"/>
          <w:sz w:val="22"/>
          <w:szCs w:val="22"/>
        </w:rPr>
        <w:t>Anno 2018 euro 7.100</w:t>
      </w:r>
    </w:p>
    <w:p>
      <w:pPr>
        <w:numPr>
          <w:ilvl w:val="0"/>
          <w:numId w:val="16"/>
        </w:numPr>
        <w:jc w:val="both"/>
        <w:rPr>
          <w:rFonts w:ascii="Arial" w:hAnsi="Arial" w:cs="Arial"/>
          <w:sz w:val="22"/>
          <w:szCs w:val="22"/>
        </w:rPr>
      </w:pPr>
      <w:r>
        <w:rPr>
          <w:rFonts w:ascii="Arial" w:hAnsi="Arial" w:cs="Arial"/>
          <w:sz w:val="22"/>
          <w:szCs w:val="22"/>
        </w:rPr>
        <w:t>Anno 2019 euro 8.000</w:t>
      </w:r>
    </w:p>
    <w:p>
      <w:pPr>
        <w:numPr>
          <w:ilvl w:val="0"/>
          <w:numId w:val="16"/>
        </w:numPr>
        <w:jc w:val="both"/>
        <w:rPr>
          <w:rFonts w:ascii="Arial" w:hAnsi="Arial" w:cs="Arial"/>
          <w:sz w:val="22"/>
          <w:szCs w:val="22"/>
        </w:rPr>
      </w:pPr>
      <w:r>
        <w:rPr>
          <w:rFonts w:ascii="Arial" w:hAnsi="Arial" w:cs="Arial"/>
          <w:sz w:val="22"/>
          <w:szCs w:val="22"/>
        </w:rPr>
        <w:t>Anno 2020 euro 8.950</w:t>
      </w:r>
    </w:p>
    <w:p>
      <w:pPr>
        <w:jc w:val="both"/>
        <w:rPr>
          <w:rFonts w:ascii="Arial" w:hAnsi="Arial" w:cs="Arial"/>
          <w:sz w:val="22"/>
          <w:szCs w:val="22"/>
        </w:rPr>
      </w:pPr>
      <w:r>
        <w:rPr>
          <w:rFonts w:ascii="Arial" w:hAnsi="Arial" w:cs="Arial"/>
          <w:sz w:val="22"/>
          <w:szCs w:val="22"/>
        </w:rPr>
        <w:t>mentre la parte in conto capitale risulta zero per tutti i tre anni.</w:t>
      </w: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 xml:space="preserve">Il fondo crediti di dubbia esigibilità per gli anni 2018-2020 risulta come dai seguenti prospetti: </w:t>
      </w:r>
    </w:p>
    <w:p>
      <w:pPr>
        <w:rPr>
          <w:rFonts w:ascii="Arial" w:hAnsi="Arial" w:cs="Arial"/>
          <w:b/>
          <w:sz w:val="22"/>
          <w:szCs w:val="22"/>
          <w:u w:val="single"/>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b/>
          <w:sz w:val="22"/>
          <w:szCs w:val="22"/>
          <w:u w:val="single"/>
        </w:rPr>
      </w:pPr>
      <w:r>
        <w:rPr>
          <w:rFonts w:ascii="Arial" w:hAnsi="Arial" w:cs="Arial"/>
          <w:b/>
          <w:sz w:val="22"/>
          <w:szCs w:val="22"/>
          <w:u w:val="single"/>
        </w:rPr>
        <w:lastRenderedPageBreak/>
        <w:t>ANNO 2018</w:t>
      </w:r>
    </w:p>
    <w:p>
      <w:pPr>
        <w:rPr>
          <w:rFonts w:ascii="Arial" w:hAnsi="Arial" w:cs="Arial"/>
          <w:sz w:val="22"/>
          <w:szCs w:val="22"/>
        </w:rPr>
      </w:pPr>
    </w:p>
    <w:bookmarkStart w:id="55" w:name="_MON_1580710928"/>
    <w:bookmarkEnd w:id="55"/>
    <w:p>
      <w:pPr>
        <w:rPr>
          <w:rFonts w:ascii="Arial" w:hAnsi="Arial" w:cs="Arial"/>
          <w:sz w:val="22"/>
          <w:szCs w:val="22"/>
        </w:rPr>
      </w:pPr>
      <w:r>
        <w:rPr>
          <w:rFonts w:ascii="Arial" w:hAnsi="Arial" w:cs="Arial"/>
          <w:sz w:val="22"/>
          <w:szCs w:val="22"/>
        </w:rPr>
        <w:object w:dxaOrig="10247" w:dyaOrig="3657">
          <v:shape id="_x0000_i1035" type="#_x0000_t75" style="width:522.75pt;height:183pt" o:ole="">
            <v:imagedata r:id="rId37" o:title=""/>
          </v:shape>
          <o:OLEObject Type="Embed" ProgID="Excel.Sheet.12" ShapeID="_x0000_i1035" DrawAspect="Content" ObjectID="_1580719624" r:id="rId38"/>
        </w:object>
      </w:r>
    </w:p>
    <w:p>
      <w:pPr>
        <w:rPr>
          <w:rFonts w:ascii="Arial" w:hAnsi="Arial" w:cs="Arial"/>
          <w:b/>
          <w:sz w:val="22"/>
          <w:szCs w:val="22"/>
          <w:u w:val="single"/>
        </w:rPr>
      </w:pPr>
    </w:p>
    <w:p>
      <w:pPr>
        <w:rPr>
          <w:rFonts w:ascii="Arial" w:hAnsi="Arial" w:cs="Arial"/>
          <w:sz w:val="22"/>
          <w:szCs w:val="22"/>
        </w:rPr>
      </w:pPr>
      <w:r>
        <w:rPr>
          <w:rFonts w:ascii="Arial" w:hAnsi="Arial" w:cs="Arial"/>
          <w:b/>
          <w:sz w:val="22"/>
          <w:szCs w:val="22"/>
          <w:u w:val="single"/>
        </w:rPr>
        <w:t>ANNO 2019</w:t>
      </w:r>
    </w:p>
    <w:p>
      <w:pPr>
        <w:jc w:val="both"/>
        <w:rPr>
          <w:rFonts w:ascii="Arial" w:hAnsi="Arial" w:cs="Arial"/>
          <w:sz w:val="22"/>
          <w:szCs w:val="22"/>
        </w:rPr>
      </w:pPr>
    </w:p>
    <w:bookmarkStart w:id="56" w:name="_MON_1580711115"/>
    <w:bookmarkEnd w:id="56"/>
    <w:p>
      <w:pPr>
        <w:rPr>
          <w:rFonts w:ascii="Arial" w:hAnsi="Arial" w:cs="Arial"/>
          <w:sz w:val="22"/>
          <w:szCs w:val="22"/>
        </w:rPr>
      </w:pPr>
      <w:r>
        <w:rPr>
          <w:rFonts w:ascii="Arial" w:hAnsi="Arial" w:cs="Arial"/>
          <w:sz w:val="22"/>
          <w:szCs w:val="22"/>
        </w:rPr>
        <w:object w:dxaOrig="10247" w:dyaOrig="3542">
          <v:shape id="_x0000_i1036" type="#_x0000_t75" style="width:512.25pt;height:177pt" o:ole="">
            <v:imagedata r:id="rId39" o:title=""/>
          </v:shape>
          <o:OLEObject Type="Embed" ProgID="Excel.Sheet.12" ShapeID="_x0000_i1036" DrawAspect="Content" ObjectID="_1580719625" r:id="rId40"/>
        </w:object>
      </w:r>
    </w:p>
    <w:p>
      <w:pPr>
        <w:rPr>
          <w:rFonts w:ascii="Arial" w:hAnsi="Arial" w:cs="Arial"/>
          <w:b/>
          <w:sz w:val="22"/>
          <w:szCs w:val="22"/>
          <w:u w:val="single"/>
        </w:rPr>
      </w:pPr>
    </w:p>
    <w:p>
      <w:pPr>
        <w:rPr>
          <w:rFonts w:ascii="Arial" w:hAnsi="Arial" w:cs="Arial"/>
          <w:b/>
          <w:sz w:val="22"/>
          <w:szCs w:val="22"/>
          <w:u w:val="single"/>
        </w:rPr>
      </w:pPr>
      <w:r>
        <w:rPr>
          <w:rFonts w:ascii="Arial" w:hAnsi="Arial" w:cs="Arial"/>
          <w:b/>
          <w:sz w:val="22"/>
          <w:szCs w:val="22"/>
          <w:u w:val="single"/>
        </w:rPr>
        <w:t xml:space="preserve"> ANNO 2020</w:t>
      </w:r>
    </w:p>
    <w:p>
      <w:pPr>
        <w:rPr>
          <w:rFonts w:ascii="Arial" w:hAnsi="Arial" w:cs="Arial"/>
          <w:sz w:val="22"/>
          <w:szCs w:val="22"/>
        </w:rPr>
      </w:pPr>
    </w:p>
    <w:bookmarkStart w:id="57" w:name="_MON_1580711249"/>
    <w:bookmarkEnd w:id="57"/>
    <w:p>
      <w:pPr>
        <w:jc w:val="both"/>
        <w:rPr>
          <w:rFonts w:ascii="Arial" w:hAnsi="Arial" w:cs="Arial"/>
          <w:sz w:val="22"/>
          <w:szCs w:val="22"/>
        </w:rPr>
      </w:pPr>
      <w:r>
        <w:rPr>
          <w:rFonts w:ascii="Arial" w:hAnsi="Arial" w:cs="Arial"/>
          <w:sz w:val="22"/>
          <w:szCs w:val="22"/>
        </w:rPr>
        <w:object w:dxaOrig="10247" w:dyaOrig="3571">
          <v:shape id="_x0000_i1037" type="#_x0000_t75" style="width:512.25pt;height:178.5pt" o:ole="">
            <v:imagedata r:id="rId41" o:title=""/>
          </v:shape>
          <o:OLEObject Type="Embed" ProgID="Excel.Sheet.12" ShapeID="_x0000_i1037" DrawAspect="Content" ObjectID="_1580719626" r:id="rId42"/>
        </w:object>
      </w:r>
    </w:p>
    <w:p>
      <w:pPr>
        <w:jc w:val="both"/>
        <w:rPr>
          <w:rFonts w:ascii="Arial" w:hAnsi="Arial" w:cs="Arial"/>
          <w:sz w:val="22"/>
          <w:szCs w:val="22"/>
        </w:rPr>
      </w:pPr>
    </w:p>
    <w:p>
      <w:pPr>
        <w:pStyle w:val="Titolo3"/>
      </w:pPr>
      <w:bookmarkStart w:id="58" w:name="_MON_1497597837"/>
      <w:bookmarkStart w:id="59" w:name="_MON_1513863191"/>
      <w:bookmarkStart w:id="60" w:name="_MON_1513863202"/>
      <w:bookmarkEnd w:id="58"/>
      <w:bookmarkEnd w:id="59"/>
      <w:bookmarkEnd w:id="60"/>
    </w:p>
    <w:p>
      <w:pPr>
        <w:pStyle w:val="Titolo3"/>
      </w:pPr>
      <w:bookmarkStart w:id="61" w:name="_Toc500328705"/>
      <w:r>
        <w:lastRenderedPageBreak/>
        <w:t>Fondo di riserva di competenza</w:t>
      </w:r>
      <w:bookmarkEnd w:id="61"/>
    </w:p>
    <w:p>
      <w:pPr>
        <w:pStyle w:val="Corpodeltesto21"/>
        <w:spacing w:before="120"/>
        <w:rPr>
          <w:rFonts w:cs="Arial"/>
          <w:b w:val="0"/>
          <w:i w:val="0"/>
          <w:sz w:val="22"/>
          <w:szCs w:val="22"/>
        </w:rPr>
      </w:pPr>
    </w:p>
    <w:p>
      <w:pPr>
        <w:pStyle w:val="Corpodeltesto21"/>
        <w:spacing w:before="120"/>
        <w:rPr>
          <w:rFonts w:cs="Arial"/>
          <w:b w:val="0"/>
          <w:i w:val="0"/>
          <w:sz w:val="22"/>
          <w:szCs w:val="22"/>
        </w:rPr>
      </w:pPr>
      <w:r>
        <w:rPr>
          <w:rFonts w:cs="Arial"/>
          <w:b w:val="0"/>
          <w:i w:val="0"/>
          <w:sz w:val="22"/>
          <w:szCs w:val="22"/>
        </w:rPr>
        <w:t>La consistenza del fondo di riserva ordinario previsto:</w:t>
      </w:r>
    </w:p>
    <w:p>
      <w:pPr>
        <w:pStyle w:val="Corpodeltesto21"/>
        <w:spacing w:before="120"/>
        <w:rPr>
          <w:rFonts w:cs="Arial"/>
          <w:b w:val="0"/>
          <w:i w:val="0"/>
          <w:sz w:val="22"/>
          <w:szCs w:val="22"/>
        </w:rPr>
      </w:pPr>
      <w:r>
        <w:rPr>
          <w:rFonts w:cs="Arial"/>
          <w:b w:val="0"/>
          <w:i w:val="0"/>
          <w:sz w:val="22"/>
          <w:szCs w:val="22"/>
        </w:rPr>
        <w:t>anno 2018 - euro 2.000 pari allo 0,14% delle spese correnti;</w:t>
      </w:r>
    </w:p>
    <w:p>
      <w:pPr>
        <w:pStyle w:val="Corpodeltesto21"/>
        <w:spacing w:before="120"/>
        <w:rPr>
          <w:rFonts w:cs="Arial"/>
          <w:b w:val="0"/>
          <w:i w:val="0"/>
          <w:sz w:val="22"/>
          <w:szCs w:val="22"/>
        </w:rPr>
      </w:pPr>
      <w:r>
        <w:rPr>
          <w:rFonts w:cs="Arial"/>
          <w:b w:val="0"/>
          <w:i w:val="0"/>
          <w:sz w:val="22"/>
          <w:szCs w:val="22"/>
        </w:rPr>
        <w:t>anno 2019 - euro 0,00 pari allo 0,00% delle spese correnti;</w:t>
      </w:r>
    </w:p>
    <w:p>
      <w:pPr>
        <w:pStyle w:val="Corpodeltesto21"/>
        <w:spacing w:before="120"/>
        <w:rPr>
          <w:rFonts w:cs="Arial"/>
          <w:b w:val="0"/>
          <w:i w:val="0"/>
          <w:sz w:val="22"/>
          <w:szCs w:val="22"/>
        </w:rPr>
      </w:pPr>
      <w:r>
        <w:rPr>
          <w:rFonts w:cs="Arial"/>
          <w:b w:val="0"/>
          <w:i w:val="0"/>
          <w:sz w:val="22"/>
          <w:szCs w:val="22"/>
        </w:rPr>
        <w:t>anno 2020 - euro 0,00 pari allo 0,00% delle spese correnti;</w:t>
      </w:r>
    </w:p>
    <w:p>
      <w:pPr>
        <w:pStyle w:val="Corpodeltesto21"/>
        <w:spacing w:before="120"/>
        <w:rPr>
          <w:rFonts w:cs="Arial"/>
          <w:b w:val="0"/>
          <w:i w:val="0"/>
          <w:sz w:val="22"/>
          <w:szCs w:val="22"/>
        </w:rPr>
      </w:pPr>
      <w:r>
        <w:rPr>
          <w:rFonts w:cs="Arial"/>
          <w:b w:val="0"/>
          <w:i w:val="0"/>
          <w:sz w:val="22"/>
          <w:szCs w:val="22"/>
        </w:rPr>
        <w:t xml:space="preserve">rientra nei limiti previsti dall’articolo 166 del </w:t>
      </w:r>
      <w:r>
        <w:rPr>
          <w:rFonts w:cs="Arial"/>
          <w:sz w:val="20"/>
        </w:rPr>
        <w:t>TUEL</w:t>
      </w:r>
      <w:r>
        <w:rPr>
          <w:rFonts w:cs="Arial"/>
          <w:b w:val="0"/>
          <w:i w:val="0"/>
          <w:sz w:val="22"/>
          <w:szCs w:val="22"/>
        </w:rPr>
        <w:t xml:space="preserve"> ed in quelli previsti dal regolamento di contabilità.</w:t>
      </w:r>
    </w:p>
    <w:p>
      <w:pPr>
        <w:autoSpaceDE w:val="0"/>
        <w:autoSpaceDN w:val="0"/>
        <w:adjustRightInd w:val="0"/>
        <w:rPr>
          <w:rFonts w:ascii="Arial" w:hAnsi="Arial" w:cs="Arial"/>
          <w:b/>
          <w:bCs/>
          <w:sz w:val="22"/>
          <w:szCs w:val="22"/>
          <w:u w:val="single"/>
        </w:rPr>
      </w:pPr>
    </w:p>
    <w:p>
      <w:pPr>
        <w:pStyle w:val="Titolo3"/>
      </w:pPr>
    </w:p>
    <w:p>
      <w:pPr>
        <w:pStyle w:val="Titolo3"/>
      </w:pPr>
      <w:bookmarkStart w:id="62" w:name="_Toc500328706"/>
      <w:r>
        <w:t>Fondi per spese potenziali</w:t>
      </w:r>
      <w:bookmarkEnd w:id="62"/>
    </w:p>
    <w:p/>
    <w:p>
      <w:pPr>
        <w:autoSpaceDE w:val="0"/>
        <w:autoSpaceDN w:val="0"/>
        <w:adjustRightInd w:val="0"/>
        <w:rPr>
          <w:rFonts w:ascii="Arial" w:hAnsi="Arial" w:cs="Arial"/>
          <w:bCs/>
          <w:sz w:val="22"/>
          <w:szCs w:val="22"/>
        </w:rPr>
      </w:pPr>
      <w:r>
        <w:rPr>
          <w:rFonts w:ascii="Arial" w:hAnsi="Arial" w:cs="Arial"/>
          <w:bCs/>
          <w:sz w:val="22"/>
          <w:szCs w:val="22"/>
        </w:rPr>
        <w:t xml:space="preserve">Sono previsti accantonamenti per le seguenti passività potenziali </w:t>
      </w:r>
      <w:r>
        <w:rPr>
          <w:rFonts w:ascii="Arial" w:hAnsi="Arial" w:cs="Arial"/>
          <w:bCs/>
          <w:sz w:val="22"/>
          <w:szCs w:val="22"/>
          <w:vertAlign w:val="superscript"/>
        </w:rPr>
        <w:t>(1)</w:t>
      </w:r>
      <w:r>
        <w:rPr>
          <w:rFonts w:ascii="Arial" w:hAnsi="Arial" w:cs="Arial"/>
          <w:bCs/>
          <w:sz w:val="22"/>
          <w:szCs w:val="22"/>
        </w:rPr>
        <w:t>:</w:t>
      </w:r>
    </w:p>
    <w:p>
      <w:pPr>
        <w:autoSpaceDE w:val="0"/>
        <w:autoSpaceDN w:val="0"/>
        <w:adjustRightInd w:val="0"/>
        <w:rPr>
          <w:rFonts w:ascii="Arial" w:hAnsi="Arial" w:cs="Arial"/>
          <w:bCs/>
          <w:sz w:val="22"/>
          <w:szCs w:val="22"/>
        </w:rPr>
      </w:pPr>
    </w:p>
    <w:bookmarkStart w:id="63" w:name="_MON_1580711471"/>
    <w:bookmarkEnd w:id="63"/>
    <w:p>
      <w:pPr>
        <w:autoSpaceDE w:val="0"/>
        <w:autoSpaceDN w:val="0"/>
        <w:adjustRightInd w:val="0"/>
        <w:jc w:val="center"/>
        <w:rPr>
          <w:rFonts w:ascii="Arial" w:hAnsi="Arial" w:cs="Arial"/>
          <w:bCs/>
          <w:sz w:val="22"/>
          <w:szCs w:val="22"/>
        </w:rPr>
      </w:pPr>
      <w:r>
        <w:rPr>
          <w:rFonts w:ascii="Arial" w:hAnsi="Arial" w:cs="Arial"/>
          <w:bCs/>
          <w:sz w:val="22"/>
          <w:szCs w:val="22"/>
        </w:rPr>
        <w:object w:dxaOrig="8616" w:dyaOrig="2919">
          <v:shape id="_x0000_i1038" type="#_x0000_t75" style="width:426.75pt;height:146.25pt" o:ole="">
            <v:imagedata r:id="rId43" o:title=""/>
          </v:shape>
          <o:OLEObject Type="Embed" ProgID="Excel.Sheet.12" ShapeID="_x0000_i1038" DrawAspect="Content" ObjectID="_1580719627" r:id="rId44"/>
        </w:object>
      </w:r>
    </w:p>
    <w:p>
      <w:pPr>
        <w:rPr>
          <w:rFonts w:ascii="Arial" w:hAnsi="Arial" w:cs="Arial"/>
        </w:rPr>
      </w:pPr>
      <w:bookmarkStart w:id="64" w:name="_Toc346838833"/>
    </w:p>
    <w:p>
      <w:pPr>
        <w:rPr>
          <w:rFonts w:ascii="Arial" w:hAnsi="Arial" w:cs="Arial"/>
        </w:rPr>
      </w:pPr>
    </w:p>
    <w:p>
      <w:pPr>
        <w:rPr>
          <w:rFonts w:ascii="Arial" w:hAnsi="Arial" w:cs="Arial"/>
        </w:rPr>
      </w:pPr>
    </w:p>
    <w:p>
      <w:pPr>
        <w:pStyle w:val="Titolo3"/>
      </w:pPr>
      <w:bookmarkStart w:id="65" w:name="_Toc500328707"/>
      <w:r>
        <w:t>Fondo di riserva di cassa</w:t>
      </w:r>
      <w:bookmarkEnd w:id="65"/>
    </w:p>
    <w:p>
      <w:pPr>
        <w:pStyle w:val="provvr0"/>
        <w:rPr>
          <w:rFonts w:ascii="Arial" w:hAnsi="Arial" w:cs="Arial"/>
          <w:i/>
          <w:color w:val="17365D"/>
          <w:sz w:val="22"/>
          <w:szCs w:val="22"/>
        </w:rPr>
      </w:pPr>
      <w:r>
        <w:rPr>
          <w:rFonts w:ascii="Arial" w:hAnsi="Arial" w:cs="Arial"/>
          <w:sz w:val="22"/>
          <w:szCs w:val="22"/>
        </w:rPr>
        <w:t xml:space="preserve">La consistenza del fondo di riserva di cassa rientra nei limiti di cui all’art. 166, comma 2 quater del TUEL. </w:t>
      </w:r>
    </w:p>
    <w:p>
      <w:pPr>
        <w:pStyle w:val="provvr0"/>
        <w:rPr>
          <w:rFonts w:ascii="Arial" w:hAnsi="Arial" w:cs="Arial"/>
          <w:i/>
          <w:color w:val="17365D"/>
          <w:sz w:val="22"/>
          <w:szCs w:val="22"/>
        </w:rPr>
      </w:pPr>
    </w:p>
    <w:p>
      <w:pPr>
        <w:pStyle w:val="provvr0"/>
        <w:rPr>
          <w:rFonts w:ascii="Arial" w:hAnsi="Arial" w:cs="Arial"/>
          <w:i/>
          <w:color w:val="17365D"/>
          <w:sz w:val="22"/>
          <w:szCs w:val="22"/>
        </w:rPr>
      </w:pPr>
    </w:p>
    <w:p>
      <w:pPr>
        <w:pStyle w:val="provvr0"/>
        <w:rPr>
          <w:rFonts w:ascii="Arial" w:hAnsi="Arial" w:cs="Arial"/>
          <w:i/>
          <w:color w:val="17365D"/>
          <w:sz w:val="22"/>
          <w:szCs w:val="22"/>
        </w:rPr>
      </w:pPr>
    </w:p>
    <w:p>
      <w:pPr>
        <w:pStyle w:val="provvr0"/>
        <w:rPr>
          <w:rFonts w:ascii="Arial" w:hAnsi="Arial" w:cs="Arial"/>
          <w:i/>
          <w:color w:val="17365D"/>
          <w:sz w:val="22"/>
          <w:szCs w:val="22"/>
        </w:rPr>
      </w:pPr>
    </w:p>
    <w:p>
      <w:pPr>
        <w:pStyle w:val="provvr0"/>
        <w:rPr>
          <w:rFonts w:ascii="Arial" w:hAnsi="Arial" w:cs="Arial"/>
          <w:i/>
          <w:color w:val="17365D"/>
          <w:sz w:val="22"/>
          <w:szCs w:val="22"/>
        </w:rPr>
      </w:pPr>
    </w:p>
    <w:p>
      <w:pPr>
        <w:pStyle w:val="provvr0"/>
        <w:rPr>
          <w:rFonts w:ascii="Arial" w:hAnsi="Arial" w:cs="Arial"/>
          <w:i/>
          <w:color w:val="17365D"/>
          <w:sz w:val="22"/>
          <w:szCs w:val="22"/>
        </w:rPr>
      </w:pPr>
    </w:p>
    <w:p>
      <w:pPr>
        <w:pStyle w:val="provvr0"/>
        <w:rPr>
          <w:rFonts w:ascii="Arial" w:hAnsi="Arial" w:cs="Arial"/>
          <w:i/>
          <w:color w:val="17365D"/>
          <w:sz w:val="22"/>
          <w:szCs w:val="22"/>
        </w:rPr>
      </w:pPr>
    </w:p>
    <w:p>
      <w:pPr>
        <w:pStyle w:val="provvr0"/>
        <w:rPr>
          <w:rFonts w:ascii="Arial" w:hAnsi="Arial" w:cs="Arial"/>
          <w:i/>
          <w:color w:val="17365D"/>
          <w:sz w:val="22"/>
          <w:szCs w:val="22"/>
        </w:rPr>
      </w:pPr>
    </w:p>
    <w:p>
      <w:pPr>
        <w:pStyle w:val="provvr0"/>
        <w:rPr>
          <w:rFonts w:ascii="Arial" w:hAnsi="Arial" w:cs="Arial"/>
          <w:i/>
          <w:color w:val="17365D"/>
          <w:sz w:val="22"/>
          <w:szCs w:val="22"/>
        </w:rPr>
      </w:pPr>
    </w:p>
    <w:p>
      <w:pPr>
        <w:pStyle w:val="Titolo1"/>
        <w:shd w:val="clear" w:color="auto" w:fill="B6DDE8"/>
      </w:pPr>
      <w:bookmarkStart w:id="66" w:name="_Toc500328708"/>
      <w:r>
        <w:lastRenderedPageBreak/>
        <w:t>ORGANISMI PARTECIPATI</w:t>
      </w:r>
      <w:bookmarkEnd w:id="66"/>
    </w:p>
    <w:p>
      <w:pPr>
        <w:pStyle w:val="BodyText21"/>
        <w:spacing w:before="120"/>
        <w:rPr>
          <w:rFonts w:cs="Arial"/>
          <w:b w:val="0"/>
          <w:i w:val="0"/>
          <w:sz w:val="22"/>
          <w:szCs w:val="22"/>
        </w:rPr>
      </w:pPr>
      <w:r>
        <w:rPr>
          <w:rFonts w:cs="Arial"/>
          <w:b w:val="0"/>
          <w:i w:val="0"/>
          <w:sz w:val="22"/>
          <w:szCs w:val="22"/>
        </w:rPr>
        <w:t>Nel corso del triennio 2018-2020 l’ente prevede di non esternalizzare i servizi.</w:t>
      </w:r>
    </w:p>
    <w:p>
      <w:pPr>
        <w:rPr>
          <w:rStyle w:val="provvrubrica"/>
          <w:rFonts w:ascii="Arial" w:hAnsi="Arial" w:cs="Arial"/>
          <w:b/>
          <w:i/>
          <w:iCs/>
          <w:color w:val="000000"/>
          <w:sz w:val="22"/>
          <w:szCs w:val="22"/>
        </w:rPr>
      </w:pPr>
    </w:p>
    <w:p>
      <w:pPr>
        <w:rPr>
          <w:rStyle w:val="provvrubrica"/>
          <w:rFonts w:ascii="Arial" w:hAnsi="Arial" w:cs="Arial"/>
          <w:b/>
          <w:i/>
          <w:iCs/>
          <w:color w:val="000000"/>
          <w:sz w:val="22"/>
          <w:szCs w:val="22"/>
        </w:rPr>
      </w:pPr>
    </w:p>
    <w:p>
      <w:pPr>
        <w:rPr>
          <w:rStyle w:val="provvrubrica"/>
          <w:rFonts w:ascii="Arial" w:hAnsi="Arial" w:cs="Arial"/>
          <w:i/>
          <w:iCs/>
          <w:color w:val="000000"/>
          <w:sz w:val="22"/>
          <w:szCs w:val="22"/>
        </w:rPr>
      </w:pPr>
      <w:r>
        <w:rPr>
          <w:rStyle w:val="provvrubrica"/>
          <w:rFonts w:ascii="Arial" w:hAnsi="Arial" w:cs="Arial"/>
          <w:b/>
          <w:i/>
          <w:iCs/>
          <w:color w:val="000000"/>
          <w:sz w:val="22"/>
          <w:szCs w:val="22"/>
        </w:rPr>
        <w:t xml:space="preserve">Revisione straordinaria delle partecipazioni </w:t>
      </w:r>
      <w:r>
        <w:rPr>
          <w:rStyle w:val="provvrubrica"/>
          <w:rFonts w:ascii="Arial" w:hAnsi="Arial" w:cs="Arial"/>
          <w:i/>
          <w:iCs/>
          <w:color w:val="000000"/>
          <w:sz w:val="22"/>
          <w:szCs w:val="22"/>
        </w:rPr>
        <w:t>(art. 24, D. Lgs. 175/2016)</w:t>
      </w:r>
    </w:p>
    <w:p>
      <w:pPr>
        <w:rPr>
          <w:rFonts w:ascii="Arial" w:hAnsi="Arial" w:cs="Arial"/>
          <w:sz w:val="22"/>
        </w:rPr>
      </w:pPr>
    </w:p>
    <w:p>
      <w:r>
        <w:rPr>
          <w:rFonts w:ascii="Arial" w:hAnsi="Arial" w:cs="Arial"/>
          <w:sz w:val="22"/>
        </w:rPr>
        <w:t>L’Ente ha provveduto con provvedimento motivato, il 09 ottobre 2017, alla ricognizione di tutte le partecipazioni possedute, direttamente e indirettamente, individuando quelle che devono essere dismesse.</w:t>
      </w:r>
    </w:p>
    <w:p>
      <w:pPr>
        <w:rPr>
          <w:rFonts w:ascii="Arial" w:hAnsi="Arial" w:cs="Arial"/>
          <w:sz w:val="22"/>
        </w:rPr>
      </w:pPr>
      <w:r>
        <w:rPr>
          <w:rFonts w:ascii="Arial" w:hAnsi="Arial" w:cs="Arial"/>
          <w:sz w:val="22"/>
        </w:rPr>
        <w:t>L’esito di tale ricognizione, anche se negativo:</w:t>
      </w:r>
    </w:p>
    <w:p>
      <w:pPr>
        <w:pStyle w:val="Paragrafoelenco"/>
        <w:widowControl w:val="0"/>
        <w:numPr>
          <w:ilvl w:val="0"/>
          <w:numId w:val="25"/>
        </w:numPr>
        <w:overflowPunct w:val="0"/>
        <w:autoSpaceDE w:val="0"/>
        <w:autoSpaceDN w:val="0"/>
        <w:adjustRightInd w:val="0"/>
        <w:spacing w:after="120"/>
        <w:jc w:val="both"/>
        <w:textAlignment w:val="baseline"/>
        <w:rPr>
          <w:rFonts w:ascii="Arial" w:hAnsi="Arial" w:cs="Arial"/>
          <w:sz w:val="22"/>
        </w:rPr>
      </w:pPr>
      <w:r>
        <w:rPr>
          <w:rFonts w:ascii="Arial" w:hAnsi="Arial" w:cs="Arial"/>
          <w:sz w:val="22"/>
        </w:rPr>
        <w:t>è stato comunicato, con le modalità previste dall’art. 17 del D.L. 90/2014, convertito con modificazioni dalla Legge 114/2014;</w:t>
      </w:r>
    </w:p>
    <w:p>
      <w:pPr>
        <w:pStyle w:val="Paragrafoelenco"/>
        <w:widowControl w:val="0"/>
        <w:numPr>
          <w:ilvl w:val="0"/>
          <w:numId w:val="25"/>
        </w:numPr>
        <w:overflowPunct w:val="0"/>
        <w:autoSpaceDE w:val="0"/>
        <w:autoSpaceDN w:val="0"/>
        <w:adjustRightInd w:val="0"/>
        <w:spacing w:after="120"/>
        <w:jc w:val="both"/>
        <w:textAlignment w:val="baseline"/>
        <w:rPr>
          <w:rFonts w:ascii="Arial" w:hAnsi="Arial" w:cs="Arial"/>
          <w:sz w:val="22"/>
        </w:rPr>
      </w:pPr>
      <w:r>
        <w:rPr>
          <w:rFonts w:ascii="Arial" w:hAnsi="Arial" w:cs="Arial"/>
          <w:sz w:val="22"/>
        </w:rPr>
        <w:t>è stato inviato alla Sezione Regionale di controllo della Corte dei Conti in data 09/10/2017;</w:t>
      </w:r>
    </w:p>
    <w:p>
      <w:pPr>
        <w:pStyle w:val="Paragrafoelenco"/>
        <w:widowControl w:val="0"/>
        <w:numPr>
          <w:ilvl w:val="0"/>
          <w:numId w:val="25"/>
        </w:numPr>
        <w:overflowPunct w:val="0"/>
        <w:autoSpaceDE w:val="0"/>
        <w:autoSpaceDN w:val="0"/>
        <w:adjustRightInd w:val="0"/>
        <w:spacing w:after="120"/>
        <w:jc w:val="both"/>
        <w:textAlignment w:val="baseline"/>
        <w:rPr>
          <w:rFonts w:ascii="Arial" w:hAnsi="Arial" w:cs="Arial"/>
          <w:sz w:val="22"/>
        </w:rPr>
      </w:pPr>
      <w:r>
        <w:rPr>
          <w:rFonts w:ascii="Arial" w:hAnsi="Arial" w:cs="Arial"/>
          <w:sz w:val="22"/>
        </w:rPr>
        <w:t>è stato inviato alla struttura competente per l’indirizzo, il controllo e il monitoraggio previsto dall’art.15 del D.Lgs. 175/2016 in data 09/10/2017</w:t>
      </w:r>
    </w:p>
    <w:p>
      <w:pPr>
        <w:rPr>
          <w:rFonts w:ascii="Arial" w:hAnsi="Arial" w:cs="Arial"/>
          <w:sz w:val="22"/>
        </w:rPr>
      </w:pPr>
    </w:p>
    <w:p>
      <w:pPr>
        <w:rPr>
          <w:rFonts w:ascii="Arial" w:hAnsi="Arial" w:cs="Arial"/>
          <w:sz w:val="22"/>
        </w:rPr>
      </w:pPr>
      <w:r>
        <w:rPr>
          <w:rFonts w:ascii="Arial" w:hAnsi="Arial" w:cs="Arial"/>
          <w:sz w:val="22"/>
        </w:rPr>
        <w:t>Le partecipazioni che risultano da dismettere sono:</w:t>
      </w:r>
    </w:p>
    <w:p>
      <w:pPr>
        <w:rPr>
          <w:rFonts w:ascii="Arial" w:hAnsi="Arial" w:cs="Arial"/>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3"/>
        <w:gridCol w:w="1643"/>
        <w:gridCol w:w="1644"/>
        <w:gridCol w:w="1644"/>
        <w:gridCol w:w="1642"/>
        <w:gridCol w:w="1638"/>
      </w:tblGrid>
      <w:tr>
        <w:trPr>
          <w:jc w:val="center"/>
        </w:trPr>
        <w:tc>
          <w:tcPr>
            <w:tcW w:w="834" w:type="pct"/>
            <w:vAlign w:val="bottom"/>
          </w:tcPr>
          <w:p>
            <w:pPr>
              <w:jc w:val="center"/>
              <w:rPr>
                <w:rFonts w:ascii="Arial" w:hAnsi="Arial" w:cs="Arial"/>
                <w:b/>
                <w:sz w:val="18"/>
                <w:szCs w:val="18"/>
              </w:rPr>
            </w:pPr>
            <w:r>
              <w:rPr>
                <w:rFonts w:ascii="Arial" w:hAnsi="Arial" w:cs="Arial"/>
                <w:b/>
                <w:sz w:val="18"/>
                <w:szCs w:val="18"/>
              </w:rPr>
              <w:t>Denominazione sociale</w:t>
            </w:r>
          </w:p>
        </w:tc>
        <w:tc>
          <w:tcPr>
            <w:tcW w:w="834" w:type="pct"/>
            <w:vAlign w:val="bottom"/>
          </w:tcPr>
          <w:p>
            <w:pPr>
              <w:jc w:val="center"/>
              <w:rPr>
                <w:rFonts w:ascii="Arial" w:hAnsi="Arial" w:cs="Arial"/>
                <w:b/>
                <w:sz w:val="18"/>
                <w:szCs w:val="18"/>
              </w:rPr>
            </w:pPr>
            <w:r>
              <w:rPr>
                <w:rFonts w:ascii="Arial" w:hAnsi="Arial" w:cs="Arial"/>
                <w:b/>
                <w:sz w:val="18"/>
                <w:szCs w:val="18"/>
              </w:rPr>
              <w:t>Quota di partecipazione</w:t>
            </w:r>
          </w:p>
        </w:tc>
        <w:tc>
          <w:tcPr>
            <w:tcW w:w="834" w:type="pct"/>
            <w:vAlign w:val="bottom"/>
          </w:tcPr>
          <w:p>
            <w:pPr>
              <w:jc w:val="center"/>
              <w:rPr>
                <w:rFonts w:ascii="Arial" w:hAnsi="Arial" w:cs="Arial"/>
                <w:b/>
                <w:sz w:val="18"/>
                <w:szCs w:val="18"/>
              </w:rPr>
            </w:pPr>
            <w:r>
              <w:rPr>
                <w:rFonts w:ascii="Arial" w:hAnsi="Arial" w:cs="Arial"/>
                <w:b/>
                <w:sz w:val="18"/>
                <w:szCs w:val="18"/>
              </w:rPr>
              <w:t>Motivo di dismissione</w:t>
            </w:r>
          </w:p>
        </w:tc>
        <w:tc>
          <w:tcPr>
            <w:tcW w:w="834" w:type="pct"/>
            <w:vAlign w:val="bottom"/>
          </w:tcPr>
          <w:p>
            <w:pPr>
              <w:jc w:val="center"/>
              <w:rPr>
                <w:rFonts w:ascii="Arial" w:hAnsi="Arial" w:cs="Arial"/>
                <w:b/>
                <w:sz w:val="18"/>
                <w:szCs w:val="18"/>
              </w:rPr>
            </w:pPr>
            <w:r>
              <w:rPr>
                <w:rFonts w:ascii="Arial" w:hAnsi="Arial" w:cs="Arial"/>
                <w:b/>
                <w:sz w:val="18"/>
                <w:szCs w:val="18"/>
              </w:rPr>
              <w:t>Modalità di dismissione</w:t>
            </w:r>
          </w:p>
        </w:tc>
        <w:tc>
          <w:tcPr>
            <w:tcW w:w="833" w:type="pct"/>
            <w:vAlign w:val="bottom"/>
          </w:tcPr>
          <w:p>
            <w:pPr>
              <w:jc w:val="center"/>
              <w:rPr>
                <w:rFonts w:ascii="Arial" w:hAnsi="Arial" w:cs="Arial"/>
                <w:b/>
                <w:sz w:val="18"/>
                <w:szCs w:val="18"/>
              </w:rPr>
            </w:pPr>
            <w:r>
              <w:rPr>
                <w:rFonts w:ascii="Arial" w:hAnsi="Arial" w:cs="Arial"/>
                <w:b/>
                <w:sz w:val="18"/>
                <w:szCs w:val="18"/>
              </w:rPr>
              <w:t>Data di dismissione</w:t>
            </w:r>
          </w:p>
        </w:tc>
        <w:tc>
          <w:tcPr>
            <w:tcW w:w="831" w:type="pct"/>
          </w:tcPr>
          <w:p>
            <w:pPr>
              <w:jc w:val="center"/>
              <w:rPr>
                <w:rFonts w:ascii="Arial" w:hAnsi="Arial" w:cs="Arial"/>
                <w:b/>
                <w:sz w:val="18"/>
                <w:szCs w:val="18"/>
              </w:rPr>
            </w:pPr>
            <w:r>
              <w:rPr>
                <w:rFonts w:ascii="Arial" w:hAnsi="Arial" w:cs="Arial"/>
                <w:b/>
                <w:sz w:val="18"/>
                <w:szCs w:val="18"/>
              </w:rPr>
              <w:t xml:space="preserve">Modalità ricollocamento personale </w:t>
            </w:r>
          </w:p>
        </w:tc>
      </w:tr>
      <w:tr>
        <w:trPr>
          <w:trHeight w:val="567"/>
          <w:jc w:val="center"/>
        </w:trPr>
        <w:tc>
          <w:tcPr>
            <w:tcW w:w="834" w:type="pct"/>
            <w:vAlign w:val="center"/>
          </w:tcPr>
          <w:p>
            <w:r>
              <w:t>Società Fingranda Spa</w:t>
            </w:r>
          </w:p>
        </w:tc>
        <w:tc>
          <w:tcPr>
            <w:tcW w:w="834" w:type="pct"/>
            <w:vAlign w:val="center"/>
          </w:tcPr>
          <w:p>
            <w:r>
              <w:t>0,04</w:t>
            </w:r>
          </w:p>
        </w:tc>
        <w:tc>
          <w:tcPr>
            <w:tcW w:w="834" w:type="pct"/>
            <w:vAlign w:val="center"/>
          </w:tcPr>
          <w:p>
            <w:r>
              <w:t>Mancanza requisito art.20 com. 2 lettera d TUSP</w:t>
            </w:r>
          </w:p>
        </w:tc>
        <w:tc>
          <w:tcPr>
            <w:tcW w:w="834" w:type="pct"/>
            <w:vAlign w:val="center"/>
          </w:tcPr>
          <w:p>
            <w:r>
              <w:t>Alienazione</w:t>
            </w:r>
          </w:p>
        </w:tc>
        <w:tc>
          <w:tcPr>
            <w:tcW w:w="833" w:type="pct"/>
            <w:vAlign w:val="center"/>
          </w:tcPr>
          <w:p>
            <w:r>
              <w:t>In corso</w:t>
            </w:r>
          </w:p>
        </w:tc>
        <w:tc>
          <w:tcPr>
            <w:tcW w:w="831" w:type="pct"/>
            <w:vAlign w:val="center"/>
          </w:tcPr>
          <w:p>
            <w:r>
              <w:t>Negoziazione Diretta</w:t>
            </w:r>
          </w:p>
        </w:tc>
      </w:tr>
    </w:tbl>
    <w:p>
      <w:pPr>
        <w:jc w:val="both"/>
        <w:rPr>
          <w:rFonts w:ascii="Arial" w:hAnsi="Arial" w:cs="Arial"/>
          <w:sz w:val="22"/>
          <w:szCs w:val="22"/>
        </w:rPr>
      </w:pPr>
    </w:p>
    <w:p>
      <w:pPr>
        <w:jc w:val="both"/>
        <w:rPr>
          <w:rFonts w:ascii="Arial" w:hAnsi="Arial" w:cs="Arial"/>
          <w:sz w:val="22"/>
          <w:szCs w:val="22"/>
        </w:rPr>
      </w:pPr>
    </w:p>
    <w:p>
      <w:pPr>
        <w:jc w:val="both"/>
        <w:rPr>
          <w:rFonts w:ascii="Arial" w:hAnsi="Arial" w:cs="Arial"/>
          <w:b/>
          <w:sz w:val="20"/>
          <w:szCs w:val="20"/>
        </w:rPr>
      </w:pPr>
    </w:p>
    <w:p/>
    <w:p/>
    <w:p/>
    <w:p/>
    <w:p/>
    <w:p/>
    <w:p/>
    <w:p/>
    <w:p/>
    <w:p/>
    <w:p/>
    <w:p>
      <w:pPr>
        <w:pStyle w:val="Titolo1"/>
        <w:shd w:val="clear" w:color="auto" w:fill="B6DDE8"/>
      </w:pPr>
      <w:bookmarkStart w:id="67" w:name="_SPESE_IN_CONTO"/>
      <w:bookmarkStart w:id="68" w:name="_Toc346838834"/>
      <w:bookmarkStart w:id="69" w:name="_Toc500328709"/>
      <w:bookmarkEnd w:id="64"/>
      <w:bookmarkEnd w:id="67"/>
      <w:r>
        <w:t>SPESE IN CONTO CAPITALE</w:t>
      </w:r>
      <w:bookmarkEnd w:id="68"/>
      <w:bookmarkEnd w:id="69"/>
    </w:p>
    <w:p>
      <w:pPr>
        <w:rPr>
          <w:rFonts w:ascii="Arial" w:hAnsi="Arial" w:cs="Arial"/>
          <w:b/>
          <w:sz w:val="22"/>
          <w:szCs w:val="22"/>
          <w:u w:val="single"/>
        </w:rPr>
      </w:pPr>
    </w:p>
    <w:p>
      <w:pPr>
        <w:rPr>
          <w:rFonts w:ascii="Arial" w:hAnsi="Arial" w:cs="Arial"/>
          <w:b/>
          <w:sz w:val="22"/>
          <w:szCs w:val="22"/>
          <w:u w:val="single"/>
        </w:rPr>
      </w:pPr>
    </w:p>
    <w:p>
      <w:pPr>
        <w:rPr>
          <w:rFonts w:ascii="Arial" w:hAnsi="Arial" w:cs="Arial"/>
          <w:b/>
          <w:sz w:val="22"/>
          <w:szCs w:val="22"/>
          <w:u w:val="single"/>
        </w:rPr>
      </w:pPr>
      <w:r>
        <w:rPr>
          <w:rFonts w:ascii="Arial" w:hAnsi="Arial" w:cs="Arial"/>
          <w:b/>
          <w:sz w:val="22"/>
          <w:szCs w:val="22"/>
          <w:u w:val="single"/>
        </w:rPr>
        <w:t>Finanziamento spese in conto capitale</w:t>
      </w:r>
    </w:p>
    <w:p>
      <w:pPr>
        <w:rPr>
          <w:rFonts w:ascii="Arial" w:hAnsi="Arial" w:cs="Arial"/>
          <w:b/>
          <w:sz w:val="22"/>
          <w:szCs w:val="22"/>
          <w:u w:val="single"/>
        </w:rPr>
      </w:pPr>
    </w:p>
    <w:p>
      <w:pPr>
        <w:rPr>
          <w:rFonts w:ascii="Arial" w:hAnsi="Arial" w:cs="Arial"/>
          <w:b/>
          <w:sz w:val="22"/>
          <w:szCs w:val="22"/>
          <w:u w:val="single"/>
        </w:rPr>
      </w:pPr>
    </w:p>
    <w:p>
      <w:pPr>
        <w:jc w:val="both"/>
        <w:rPr>
          <w:rFonts w:ascii="Arial" w:hAnsi="Arial" w:cs="Arial"/>
          <w:sz w:val="22"/>
          <w:szCs w:val="22"/>
        </w:rPr>
      </w:pPr>
      <w:r>
        <w:rPr>
          <w:rFonts w:ascii="Arial" w:hAnsi="Arial" w:cs="Arial"/>
          <w:sz w:val="22"/>
          <w:szCs w:val="22"/>
        </w:rPr>
        <w:t>Le spese in conto capitale previste negli anni 2018, 2019 e 2020 sono finanziate come segue:</w:t>
      </w:r>
    </w:p>
    <w:bookmarkStart w:id="70" w:name="_MON_1580711985"/>
    <w:bookmarkEnd w:id="70"/>
    <w:p>
      <w:pPr>
        <w:rPr>
          <w:rFonts w:ascii="Arial" w:hAnsi="Arial" w:cs="Arial"/>
          <w:b/>
          <w:sz w:val="22"/>
          <w:szCs w:val="22"/>
          <w:u w:val="single"/>
        </w:rPr>
      </w:pPr>
      <w:r>
        <w:rPr>
          <w:rFonts w:ascii="Arial" w:hAnsi="Arial" w:cs="Arial"/>
          <w:b/>
          <w:sz w:val="16"/>
          <w:szCs w:val="16"/>
          <w:u w:val="single"/>
        </w:rPr>
        <w:object w:dxaOrig="10071" w:dyaOrig="11998">
          <v:shape id="_x0000_i1039" type="#_x0000_t75" style="width:428.25pt;height:654pt" o:ole="">
            <v:imagedata r:id="rId45" o:title=""/>
          </v:shape>
          <o:OLEObject Type="Embed" ProgID="Excel.Sheet.12" ShapeID="_x0000_i1039" DrawAspect="Content" ObjectID="_1580719628" r:id="rId46"/>
        </w:object>
      </w:r>
    </w:p>
    <w:p>
      <w:pPr>
        <w:rPr>
          <w:rFonts w:ascii="Arial" w:hAnsi="Arial" w:cs="Arial"/>
          <w:b/>
          <w:sz w:val="22"/>
          <w:szCs w:val="22"/>
          <w:u w:val="single"/>
        </w:rPr>
      </w:pPr>
    </w:p>
    <w:p>
      <w:pPr>
        <w:rPr>
          <w:rFonts w:ascii="Arial" w:hAnsi="Arial" w:cs="Arial"/>
          <w:b/>
          <w:sz w:val="22"/>
          <w:szCs w:val="22"/>
          <w:u w:val="single"/>
        </w:rPr>
      </w:pPr>
    </w:p>
    <w:p>
      <w:pPr>
        <w:rPr>
          <w:rFonts w:ascii="Arial" w:hAnsi="Arial" w:cs="Arial"/>
          <w:b/>
          <w:sz w:val="22"/>
          <w:szCs w:val="22"/>
          <w:u w:val="single"/>
        </w:rPr>
      </w:pPr>
    </w:p>
    <w:p>
      <w:pPr>
        <w:rPr>
          <w:rFonts w:ascii="Arial" w:hAnsi="Arial" w:cs="Arial"/>
          <w:b/>
          <w:sz w:val="22"/>
          <w:szCs w:val="22"/>
          <w:u w:val="single"/>
        </w:rPr>
      </w:pPr>
    </w:p>
    <w:p>
      <w:pPr>
        <w:rPr>
          <w:rFonts w:ascii="Arial" w:hAnsi="Arial" w:cs="Arial"/>
          <w:b/>
          <w:sz w:val="22"/>
          <w:szCs w:val="22"/>
          <w:u w:val="single"/>
        </w:rPr>
      </w:pPr>
      <w:r>
        <w:rPr>
          <w:rFonts w:ascii="Arial" w:hAnsi="Arial" w:cs="Arial"/>
          <w:b/>
          <w:sz w:val="22"/>
          <w:szCs w:val="22"/>
          <w:u w:val="single"/>
        </w:rPr>
        <w:lastRenderedPageBreak/>
        <w:t>Limitazione acquisto immobili</w:t>
      </w:r>
    </w:p>
    <w:p>
      <w:pPr>
        <w:jc w:val="both"/>
        <w:rPr>
          <w:rStyle w:val="Enfasigrassetto"/>
          <w:rFonts w:ascii="Arial" w:hAnsi="Arial" w:cs="Arial"/>
          <w:bCs/>
          <w:sz w:val="22"/>
          <w:szCs w:val="22"/>
        </w:rPr>
      </w:pPr>
    </w:p>
    <w:p>
      <w:pPr>
        <w:jc w:val="both"/>
        <w:rPr>
          <w:rFonts w:ascii="Arial" w:hAnsi="Arial" w:cs="Arial"/>
          <w:sz w:val="22"/>
          <w:szCs w:val="22"/>
        </w:rPr>
      </w:pPr>
      <w:r>
        <w:rPr>
          <w:rFonts w:ascii="Arial" w:hAnsi="Arial" w:cs="Arial"/>
          <w:sz w:val="22"/>
          <w:szCs w:val="22"/>
        </w:rPr>
        <w:t xml:space="preserve">La spesa prevista per acquisto immobili rispetto i vincoli di cui all’art.1, comma 138 L. n.228/2012, </w:t>
      </w:r>
      <w:r>
        <w:rPr>
          <w:rStyle w:val="Collegamentoipertestuale"/>
          <w:rFonts w:ascii="Arial" w:hAnsi="Arial" w:cs="Arial"/>
          <w:color w:val="auto"/>
          <w:sz w:val="22"/>
          <w:szCs w:val="22"/>
          <w:u w:val="none"/>
        </w:rPr>
        <w:t>fermo restando quanto previsto dall’art.14 bis D.L. 50/2017</w:t>
      </w:r>
      <w:r>
        <w:rPr>
          <w:rFonts w:ascii="Arial" w:hAnsi="Arial" w:cs="Arial"/>
          <w:sz w:val="22"/>
          <w:szCs w:val="22"/>
        </w:rPr>
        <w:t>.</w:t>
      </w:r>
    </w:p>
    <w:p>
      <w:pPr>
        <w:jc w:val="both"/>
        <w:rPr>
          <w:rFonts w:ascii="Arial" w:hAnsi="Arial" w:cs="Arial"/>
          <w:sz w:val="22"/>
          <w:szCs w:val="22"/>
        </w:rPr>
      </w:pPr>
    </w:p>
    <w:p>
      <w:pPr>
        <w:rPr>
          <w:rFonts w:ascii="Arial" w:hAnsi="Arial" w:cs="Arial"/>
        </w:rPr>
      </w:pPr>
    </w:p>
    <w:p>
      <w:pPr>
        <w:rPr>
          <w:rFonts w:ascii="Arial" w:hAnsi="Arial" w:cs="Arial"/>
        </w:rPr>
      </w:pPr>
    </w:p>
    <w:p>
      <w:pPr>
        <w:pStyle w:val="Titolo1"/>
        <w:shd w:val="clear" w:color="auto" w:fill="B6DDE8"/>
      </w:pPr>
      <w:bookmarkStart w:id="71" w:name="_INDEBITAMENTO"/>
      <w:bookmarkStart w:id="72" w:name="_Toc500328710"/>
      <w:bookmarkEnd w:id="71"/>
      <w:r>
        <w:t>INDEBITAMENTO</w:t>
      </w:r>
      <w:bookmarkEnd w:id="72"/>
    </w:p>
    <w:p>
      <w:pPr>
        <w:spacing w:after="120"/>
        <w:jc w:val="both"/>
        <w:rPr>
          <w:rFonts w:ascii="Arial" w:hAnsi="Arial" w:cs="Arial"/>
          <w:color w:val="000000"/>
          <w:sz w:val="16"/>
          <w:szCs w:val="16"/>
        </w:rPr>
      </w:pPr>
      <w:r>
        <w:rPr>
          <w:rFonts w:ascii="Arial" w:hAnsi="Arial" w:cs="Arial"/>
          <w:sz w:val="22"/>
          <w:szCs w:val="22"/>
        </w:rPr>
        <w:t>L’ammontare dei prestiti previsti per il finanziamento di spese in conto capitale risulta compatibile per gli anni 2018, 2019 e 2020 con il limite della capacità di indebitamento previsto dall’articolo 204 del TUEL</w:t>
      </w:r>
      <w:bookmarkStart w:id="73" w:name="_MON_1497458423"/>
      <w:bookmarkEnd w:id="73"/>
      <w:r>
        <w:rPr>
          <w:rFonts w:ascii="Arial" w:hAnsi="Arial" w:cs="Arial"/>
          <w:sz w:val="22"/>
          <w:szCs w:val="22"/>
        </w:rPr>
        <w:t xml:space="preserve"> e nel rispetto dell’art.203 del TUEL.</w:t>
      </w:r>
    </w:p>
    <w:p>
      <w:pPr>
        <w:rPr>
          <w:rFonts w:ascii="Arial" w:hAnsi="Arial" w:cs="Arial"/>
          <w:sz w:val="22"/>
          <w:szCs w:val="22"/>
        </w:rPr>
      </w:pPr>
    </w:p>
    <w:p>
      <w:pPr>
        <w:pStyle w:val="Corpodeltesto21"/>
        <w:rPr>
          <w:rFonts w:cs="Arial"/>
          <w:b w:val="0"/>
          <w:i w:val="0"/>
          <w:sz w:val="22"/>
          <w:szCs w:val="22"/>
        </w:rPr>
      </w:pPr>
      <w:r>
        <w:rPr>
          <w:rFonts w:cs="Arial"/>
          <w:b w:val="0"/>
          <w:i w:val="0"/>
          <w:sz w:val="22"/>
          <w:szCs w:val="22"/>
        </w:rPr>
        <w:t>L’incidenza degli interessi passivi compresi quelli derivanti da garanzie fideiussorie prestate, sulle entrate correnti del penultimo rendiconto precedente o su quelle previste è così prevista in relazione anche ai limiti di cui al citato art. 204 del TUEL:</w:t>
      </w:r>
    </w:p>
    <w:p>
      <w:pPr>
        <w:pStyle w:val="Corpodeltesto21"/>
        <w:rPr>
          <w:rStyle w:val="Collegamentoipertestuale"/>
          <w:rFonts w:cs="Arial"/>
        </w:rPr>
      </w:pPr>
    </w:p>
    <w:bookmarkStart w:id="74" w:name="_MON_1580712150"/>
    <w:bookmarkEnd w:id="74"/>
    <w:p>
      <w:pPr>
        <w:pStyle w:val="Corpodeltesto21"/>
        <w:rPr>
          <w:rFonts w:cs="Arial"/>
          <w:b w:val="0"/>
          <w:i w:val="0"/>
          <w:sz w:val="22"/>
          <w:szCs w:val="22"/>
        </w:rPr>
      </w:pPr>
      <w:r>
        <w:rPr>
          <w:rStyle w:val="Collegamentoipertestuale"/>
          <w:rFonts w:cs="Arial"/>
        </w:rPr>
        <w:object w:dxaOrig="9063" w:dyaOrig="1671">
          <v:shape id="_x0000_i1040" type="#_x0000_t75" style="width:453pt;height:83.25pt" o:ole="">
            <v:imagedata r:id="rId47" o:title=""/>
          </v:shape>
          <o:OLEObject Type="Embed" ProgID="Excel.Sheet.12" ShapeID="_x0000_i1040" DrawAspect="Content" ObjectID="_1580719629" r:id="rId48"/>
        </w:object>
      </w:r>
    </w:p>
    <w:p>
      <w:pPr>
        <w:pStyle w:val="Corpodeltesto21"/>
        <w:jc w:val="center"/>
        <w:rPr>
          <w:rFonts w:cs="Arial"/>
          <w:b w:val="0"/>
          <w:i w:val="0"/>
          <w:sz w:val="22"/>
          <w:szCs w:val="22"/>
        </w:rPr>
      </w:pPr>
    </w:p>
    <w:p>
      <w:pPr>
        <w:rPr>
          <w:rFonts w:ascii="Arial" w:hAnsi="Arial" w:cs="Arial"/>
          <w:b/>
          <w:sz w:val="22"/>
          <w:szCs w:val="22"/>
          <w:u w:val="single"/>
        </w:rPr>
      </w:pPr>
      <w:r>
        <w:rPr>
          <w:rFonts w:ascii="Arial" w:hAnsi="Arial" w:cs="Arial"/>
          <w:b/>
          <w:sz w:val="22"/>
          <w:szCs w:val="22"/>
          <w:u w:val="single"/>
        </w:rPr>
        <w:t>Interessi passivi e oneri finanziari diversi</w:t>
      </w:r>
    </w:p>
    <w:p>
      <w:pPr>
        <w:pStyle w:val="Corpodeltesto21"/>
        <w:spacing w:before="120"/>
        <w:rPr>
          <w:rFonts w:cs="Arial"/>
          <w:b w:val="0"/>
          <w:i w:val="0"/>
          <w:sz w:val="22"/>
          <w:szCs w:val="22"/>
        </w:rPr>
      </w:pPr>
      <w:r>
        <w:rPr>
          <w:rFonts w:cs="Arial"/>
          <w:b w:val="0"/>
          <w:i w:val="0"/>
          <w:sz w:val="22"/>
          <w:szCs w:val="22"/>
        </w:rPr>
        <w:t>La previsione di spesa per gli anni 2018, 2019 e 2020 per interessi passivi e oneri finanziari diversi, pari a euro 122.370,29 è congrua sulla base del riepilogo predisposto dal responsabile del servizio finanziario degli altri prestiti contratti a tutt’oggi e rientra nel limite di indebitamento previsto dall’articolo 204 del TUEL</w:t>
      </w:r>
      <w:r>
        <w:rPr>
          <w:rFonts w:cs="Arial"/>
          <w:i w:val="0"/>
          <w:sz w:val="20"/>
        </w:rPr>
        <w:t xml:space="preserve"> </w:t>
      </w:r>
      <w:r>
        <w:rPr>
          <w:rFonts w:cs="Arial"/>
          <w:b w:val="0"/>
          <w:i w:val="0"/>
          <w:sz w:val="22"/>
          <w:szCs w:val="22"/>
        </w:rPr>
        <w:t>come calcolato nel precedente prospetto</w:t>
      </w:r>
      <w:r>
        <w:rPr>
          <w:rFonts w:cs="Arial"/>
          <w:i w:val="0"/>
          <w:sz w:val="20"/>
        </w:rPr>
        <w:t>.</w:t>
      </w:r>
    </w:p>
    <w:p>
      <w:pPr>
        <w:widowControl w:val="0"/>
        <w:autoSpaceDE w:val="0"/>
        <w:autoSpaceDN w:val="0"/>
        <w:adjustRightInd w:val="0"/>
        <w:rPr>
          <w:rFonts w:ascii="Arial" w:hAnsi="Arial" w:cs="Arial"/>
          <w:sz w:val="22"/>
          <w:szCs w:val="22"/>
          <w:u w:val="single"/>
        </w:rPr>
      </w:pPr>
    </w:p>
    <w:p>
      <w:pPr>
        <w:widowControl w:val="0"/>
        <w:autoSpaceDE w:val="0"/>
        <w:autoSpaceDN w:val="0"/>
        <w:adjustRightInd w:val="0"/>
        <w:rPr>
          <w:rFonts w:ascii="Arial" w:hAnsi="Arial" w:cs="Arial"/>
          <w:sz w:val="22"/>
          <w:szCs w:val="22"/>
          <w:u w:val="single"/>
        </w:rPr>
      </w:pPr>
      <w:r>
        <w:rPr>
          <w:rFonts w:ascii="Arial" w:hAnsi="Arial" w:cs="Arial"/>
          <w:sz w:val="22"/>
          <w:szCs w:val="22"/>
          <w:u w:val="single"/>
        </w:rPr>
        <w:t>L’indebitamento dell’ente subisce la seguente evoluzione:</w:t>
      </w:r>
    </w:p>
    <w:p>
      <w:pPr>
        <w:widowControl w:val="0"/>
        <w:autoSpaceDE w:val="0"/>
        <w:autoSpaceDN w:val="0"/>
        <w:adjustRightInd w:val="0"/>
        <w:rPr>
          <w:rFonts w:ascii="Arial" w:hAnsi="Arial" w:cs="Arial"/>
          <w:sz w:val="22"/>
          <w:szCs w:val="22"/>
          <w:u w:val="single"/>
        </w:rPr>
      </w:pPr>
    </w:p>
    <w:bookmarkStart w:id="75" w:name="_MON_1580712342"/>
    <w:bookmarkEnd w:id="75"/>
    <w:p>
      <w:pPr>
        <w:widowControl w:val="0"/>
        <w:autoSpaceDE w:val="0"/>
        <w:autoSpaceDN w:val="0"/>
        <w:adjustRightInd w:val="0"/>
        <w:rPr>
          <w:rFonts w:ascii="Arial" w:hAnsi="Arial" w:cs="Arial"/>
          <w:sz w:val="22"/>
          <w:szCs w:val="22"/>
        </w:rPr>
      </w:pPr>
      <w:r>
        <w:rPr>
          <w:rFonts w:ascii="Arial" w:hAnsi="Arial" w:cs="Arial"/>
          <w:sz w:val="22"/>
          <w:szCs w:val="22"/>
          <w:u w:val="single"/>
        </w:rPr>
        <w:object w:dxaOrig="9148" w:dyaOrig="2049">
          <v:shape id="_x0000_i1041" type="#_x0000_t75" style="width:456.75pt;height:102.75pt" o:ole="">
            <v:imagedata r:id="rId49" o:title=""/>
          </v:shape>
          <o:OLEObject Type="Embed" ProgID="Excel.Sheet.12" ShapeID="_x0000_i1041" DrawAspect="Content" ObjectID="_1580719630" r:id="rId50"/>
        </w:object>
      </w:r>
      <w:bookmarkStart w:id="76" w:name="_MON_1513268441"/>
      <w:bookmarkEnd w:id="76"/>
    </w:p>
    <w:p>
      <w:pPr>
        <w:widowControl w:val="0"/>
        <w:autoSpaceDE w:val="0"/>
        <w:autoSpaceDN w:val="0"/>
        <w:adjustRightInd w:val="0"/>
        <w:jc w:val="both"/>
        <w:rPr>
          <w:rFonts w:ascii="Arial" w:hAnsi="Arial" w:cs="Arial"/>
          <w:sz w:val="22"/>
          <w:szCs w:val="22"/>
        </w:rPr>
      </w:pPr>
    </w:p>
    <w:p>
      <w:pPr>
        <w:widowControl w:val="0"/>
        <w:autoSpaceDE w:val="0"/>
        <w:autoSpaceDN w:val="0"/>
        <w:adjustRightInd w:val="0"/>
        <w:jc w:val="both"/>
        <w:rPr>
          <w:rFonts w:ascii="Arial" w:hAnsi="Arial" w:cs="Arial"/>
          <w:sz w:val="22"/>
          <w:szCs w:val="22"/>
        </w:rPr>
      </w:pPr>
      <w:r>
        <w:rPr>
          <w:rFonts w:ascii="Arial" w:hAnsi="Arial" w:cs="Arial"/>
          <w:sz w:val="22"/>
          <w:szCs w:val="22"/>
        </w:rPr>
        <w:t>Gli oneri finanziari per ammortamento prestiti ed il rimborso degli stessi in conto capitale registra la seguente evoluzione:</w:t>
      </w:r>
    </w:p>
    <w:p>
      <w:pPr>
        <w:widowControl w:val="0"/>
        <w:autoSpaceDE w:val="0"/>
        <w:autoSpaceDN w:val="0"/>
        <w:adjustRightInd w:val="0"/>
        <w:jc w:val="both"/>
        <w:rPr>
          <w:rFonts w:ascii="Arial" w:hAnsi="Arial" w:cs="Arial"/>
          <w:sz w:val="22"/>
          <w:szCs w:val="22"/>
        </w:rPr>
      </w:pPr>
    </w:p>
    <w:bookmarkStart w:id="77" w:name="_MON_1580712461"/>
    <w:bookmarkEnd w:id="77"/>
    <w:p>
      <w:pPr>
        <w:widowControl w:val="0"/>
        <w:autoSpaceDE w:val="0"/>
        <w:autoSpaceDN w:val="0"/>
        <w:adjustRightInd w:val="0"/>
        <w:jc w:val="center"/>
        <w:rPr>
          <w:rFonts w:ascii="Arial" w:hAnsi="Arial" w:cs="Arial"/>
          <w:sz w:val="22"/>
          <w:szCs w:val="22"/>
        </w:rPr>
      </w:pPr>
      <w:r>
        <w:rPr>
          <w:rFonts w:ascii="Arial" w:hAnsi="Arial" w:cs="Arial"/>
          <w:sz w:val="22"/>
          <w:szCs w:val="22"/>
        </w:rPr>
        <w:object w:dxaOrig="7969" w:dyaOrig="1179">
          <v:shape id="_x0000_i1042" type="#_x0000_t75" style="width:398.25pt;height:58.5pt" o:ole="">
            <v:imagedata r:id="rId51" o:title=""/>
          </v:shape>
          <o:OLEObject Type="Embed" ProgID="Excel.Sheet.12" ShapeID="_x0000_i1042" DrawAspect="Content" ObjectID="_1580719631" r:id="rId52"/>
        </w:object>
      </w:r>
    </w:p>
    <w:p>
      <w:pPr>
        <w:widowControl w:val="0"/>
        <w:autoSpaceDE w:val="0"/>
        <w:autoSpaceDN w:val="0"/>
        <w:adjustRightInd w:val="0"/>
        <w:jc w:val="both"/>
        <w:rPr>
          <w:rFonts w:ascii="Arial" w:hAnsi="Arial" w:cs="Arial"/>
          <w:sz w:val="22"/>
          <w:szCs w:val="22"/>
        </w:rPr>
      </w:pPr>
    </w:p>
    <w:p>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lastRenderedPageBreak/>
        <w:t>L’organo di revisione ricorda che ai sensi dell’</w:t>
      </w:r>
      <w:r>
        <w:rPr>
          <w:rFonts w:ascii="Arial" w:hAnsi="Arial" w:cs="Arial"/>
          <w:sz w:val="22"/>
          <w:szCs w:val="22"/>
        </w:rPr>
        <w:t>art.10 della Legge 243/2012</w:t>
      </w:r>
      <w:r>
        <w:rPr>
          <w:rFonts w:ascii="Arial" w:hAnsi="Arial" w:cs="Arial"/>
          <w:color w:val="000000"/>
          <w:sz w:val="22"/>
          <w:szCs w:val="22"/>
        </w:rPr>
        <w:t>:</w:t>
      </w:r>
    </w:p>
    <w:p>
      <w:pPr>
        <w:pStyle w:val="Paragrafoelenco"/>
        <w:numPr>
          <w:ilvl w:val="0"/>
          <w:numId w:val="18"/>
        </w:num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il ricorso all'indebitamento da parte delle regioni, dei comuni, delle province, delle città metropolitane e delle province autonome di Trento e di Bolzano è consentito esclusivamente per finanziare spese di investimento;</w:t>
      </w:r>
    </w:p>
    <w:p>
      <w:pPr>
        <w:pStyle w:val="Paragrafoelenco"/>
        <w:numPr>
          <w:ilvl w:val="0"/>
          <w:numId w:val="18"/>
        </w:num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le operazioni di indebitamento sono effettuate solo contestualmente all'adozione di piani di ammortamento di durata non superiore alla vita utile dell'investimento, nei quali sono evidenziate l'incidenza delle obbligazioni assunte sui singoli esercizi finanziari futuri nonché le modalità di copertura degli oneri corrispondenti;</w:t>
      </w:r>
    </w:p>
    <w:p>
      <w:pPr>
        <w:pStyle w:val="Paragrafoelenco"/>
        <w:numPr>
          <w:ilvl w:val="0"/>
          <w:numId w:val="18"/>
        </w:num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le operazioni di indebitamento e le operazioni di investimento realizzate attraverso l'utilizzo dei risultati di amministrazione degli esercizi precedenti sono effettuate sulla base di apposite intese concluse in ambito regionale che garantiscano, per l'anno di riferimento, il rispetto del saldo di cui all'articolo 9, comma 1, del complesso degli enti territoriali della regione interessata, compresa la medesima regione. </w:t>
      </w: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Paragrafoelenco"/>
        <w:spacing w:before="100" w:beforeAutospacing="1" w:after="100" w:afterAutospacing="1"/>
        <w:jc w:val="both"/>
        <w:rPr>
          <w:rFonts w:ascii="Arial" w:hAnsi="Arial" w:cs="Arial"/>
          <w:color w:val="000000"/>
          <w:sz w:val="22"/>
          <w:szCs w:val="22"/>
        </w:rPr>
      </w:pPr>
    </w:p>
    <w:p>
      <w:pPr>
        <w:pStyle w:val="Titolo1"/>
        <w:shd w:val="clear" w:color="auto" w:fill="B6DDE8"/>
        <w:rPr>
          <w:sz w:val="32"/>
          <w:szCs w:val="32"/>
        </w:rPr>
      </w:pPr>
      <w:bookmarkStart w:id="78" w:name="_Toc408988076"/>
      <w:bookmarkStart w:id="79" w:name="_Toc500328711"/>
      <w:r>
        <w:rPr>
          <w:sz w:val="32"/>
          <w:szCs w:val="32"/>
        </w:rPr>
        <w:lastRenderedPageBreak/>
        <w:t>OSSERVAZIONI E SUGGERIMENTI</w:t>
      </w:r>
      <w:bookmarkEnd w:id="78"/>
      <w:bookmarkEnd w:id="79"/>
    </w:p>
    <w:p>
      <w:pPr>
        <w:tabs>
          <w:tab w:val="left" w:pos="4820"/>
        </w:tabs>
        <w:jc w:val="both"/>
        <w:rPr>
          <w:rFonts w:ascii="Arial" w:hAnsi="Arial" w:cs="Arial"/>
          <w:sz w:val="22"/>
          <w:szCs w:val="22"/>
        </w:rPr>
      </w:pPr>
      <w:r>
        <w:rPr>
          <w:rFonts w:ascii="Arial" w:hAnsi="Arial" w:cs="Arial"/>
          <w:b/>
          <w:sz w:val="20"/>
          <w:szCs w:val="20"/>
        </w:rPr>
        <w:t xml:space="preserve"> </w:t>
      </w:r>
      <w:r>
        <w:rPr>
          <w:rFonts w:ascii="Arial" w:hAnsi="Arial" w:cs="Arial"/>
          <w:sz w:val="22"/>
          <w:szCs w:val="22"/>
        </w:rPr>
        <w:t>L’organo di revisione a conclusione delle verifiche esposte nei punti precedenti considera:</w:t>
      </w:r>
    </w:p>
    <w:p>
      <w:pPr>
        <w:tabs>
          <w:tab w:val="left" w:pos="4820"/>
        </w:tabs>
        <w:jc w:val="both"/>
        <w:rPr>
          <w:rFonts w:ascii="Arial" w:hAnsi="Arial" w:cs="Arial"/>
          <w:sz w:val="20"/>
        </w:rPr>
      </w:pPr>
    </w:p>
    <w:p>
      <w:pPr>
        <w:tabs>
          <w:tab w:val="left" w:pos="4820"/>
        </w:tabs>
        <w:jc w:val="both"/>
        <w:rPr>
          <w:rFonts w:ascii="Arial" w:hAnsi="Arial" w:cs="Arial"/>
          <w:sz w:val="20"/>
        </w:rPr>
      </w:pPr>
    </w:p>
    <w:p>
      <w:pPr>
        <w:tabs>
          <w:tab w:val="left" w:pos="4820"/>
        </w:tabs>
        <w:jc w:val="both"/>
        <w:rPr>
          <w:rFonts w:ascii="Arial" w:hAnsi="Arial" w:cs="Arial"/>
          <w:b/>
          <w:sz w:val="22"/>
          <w:szCs w:val="22"/>
        </w:rPr>
      </w:pPr>
      <w:r>
        <w:rPr>
          <w:rFonts w:ascii="Arial" w:hAnsi="Arial" w:cs="Arial"/>
          <w:b/>
          <w:sz w:val="22"/>
          <w:szCs w:val="22"/>
        </w:rPr>
        <w:t>a)</w:t>
      </w:r>
      <w:r>
        <w:rPr>
          <w:rFonts w:ascii="Arial" w:hAnsi="Arial" w:cs="Arial"/>
          <w:sz w:val="22"/>
          <w:szCs w:val="22"/>
        </w:rPr>
        <w:t xml:space="preserve"> </w:t>
      </w:r>
      <w:r>
        <w:rPr>
          <w:rFonts w:ascii="Arial" w:hAnsi="Arial" w:cs="Arial"/>
          <w:b/>
          <w:sz w:val="22"/>
          <w:szCs w:val="22"/>
        </w:rPr>
        <w:t xml:space="preserve">Riguardo alle previsioni di parte corrente </w:t>
      </w:r>
    </w:p>
    <w:p>
      <w:pPr>
        <w:tabs>
          <w:tab w:val="left" w:pos="4820"/>
        </w:tabs>
        <w:spacing w:line="80" w:lineRule="exact"/>
        <w:jc w:val="both"/>
        <w:rPr>
          <w:rFonts w:ascii="Arial" w:hAnsi="Arial" w:cs="Arial"/>
          <w:sz w:val="22"/>
          <w:szCs w:val="22"/>
        </w:rPr>
      </w:pPr>
    </w:p>
    <w:p>
      <w:pPr>
        <w:tabs>
          <w:tab w:val="left" w:pos="4820"/>
        </w:tabs>
        <w:jc w:val="both"/>
        <w:rPr>
          <w:rFonts w:ascii="Arial" w:hAnsi="Arial" w:cs="Arial"/>
          <w:sz w:val="22"/>
          <w:szCs w:val="22"/>
        </w:rPr>
      </w:pPr>
      <w:r>
        <w:rPr>
          <w:rFonts w:ascii="Arial" w:hAnsi="Arial" w:cs="Arial"/>
          <w:sz w:val="22"/>
          <w:szCs w:val="22"/>
        </w:rPr>
        <w:t xml:space="preserve"> Congrue le previsioni di spesa ed attendibili le entrate previste sulla base:  </w:t>
      </w:r>
    </w:p>
    <w:p>
      <w:pPr>
        <w:pStyle w:val="Paragrafoelenco"/>
        <w:numPr>
          <w:ilvl w:val="0"/>
          <w:numId w:val="19"/>
        </w:numPr>
        <w:jc w:val="both"/>
        <w:rPr>
          <w:rFonts w:ascii="Arial" w:hAnsi="Arial" w:cs="Arial"/>
          <w:sz w:val="22"/>
          <w:szCs w:val="22"/>
        </w:rPr>
      </w:pPr>
      <w:r>
        <w:rPr>
          <w:rFonts w:ascii="Arial" w:hAnsi="Arial" w:cs="Arial"/>
          <w:sz w:val="22"/>
          <w:szCs w:val="22"/>
        </w:rPr>
        <w:t xml:space="preserve">delle risultanze dell’ultime previsioni definitive del 2017;      </w:t>
      </w:r>
    </w:p>
    <w:p>
      <w:pPr>
        <w:pStyle w:val="Paragrafoelenco"/>
        <w:numPr>
          <w:ilvl w:val="0"/>
          <w:numId w:val="19"/>
        </w:numPr>
        <w:jc w:val="both"/>
        <w:rPr>
          <w:rFonts w:ascii="Arial" w:hAnsi="Arial" w:cs="Arial"/>
          <w:sz w:val="22"/>
          <w:szCs w:val="22"/>
        </w:rPr>
      </w:pPr>
      <w:r>
        <w:rPr>
          <w:rFonts w:ascii="Arial" w:hAnsi="Arial" w:cs="Arial"/>
          <w:sz w:val="22"/>
          <w:szCs w:val="22"/>
        </w:rPr>
        <w:t>della salvaguardia degli equilibri effettuata ai sensi dell'art. 193 del TUEL;</w:t>
      </w:r>
    </w:p>
    <w:p>
      <w:pPr>
        <w:pStyle w:val="Paragrafoelenco"/>
        <w:numPr>
          <w:ilvl w:val="0"/>
          <w:numId w:val="19"/>
        </w:numPr>
        <w:jc w:val="both"/>
        <w:rPr>
          <w:rFonts w:ascii="Arial" w:hAnsi="Arial" w:cs="Arial"/>
          <w:sz w:val="22"/>
          <w:szCs w:val="22"/>
        </w:rPr>
      </w:pPr>
      <w:r>
        <w:rPr>
          <w:rFonts w:ascii="Arial" w:hAnsi="Arial" w:cs="Arial"/>
          <w:sz w:val="22"/>
          <w:szCs w:val="22"/>
        </w:rPr>
        <w:t xml:space="preserve">della valutazione del gettito effettivamente accertabile per i diversi cespiti d’entrata; </w:t>
      </w:r>
    </w:p>
    <w:p>
      <w:pPr>
        <w:pStyle w:val="Paragrafoelenco"/>
        <w:numPr>
          <w:ilvl w:val="0"/>
          <w:numId w:val="19"/>
        </w:numPr>
        <w:jc w:val="both"/>
        <w:rPr>
          <w:rFonts w:ascii="Arial" w:hAnsi="Arial" w:cs="Arial"/>
          <w:sz w:val="22"/>
          <w:szCs w:val="22"/>
        </w:rPr>
      </w:pPr>
      <w:r>
        <w:rPr>
          <w:rFonts w:ascii="Arial" w:hAnsi="Arial" w:cs="Arial"/>
          <w:sz w:val="22"/>
          <w:szCs w:val="22"/>
        </w:rPr>
        <w:t>dei riflessi delle decisioni già prese e di quelle da effettuare descritte nel DUP;</w:t>
      </w:r>
    </w:p>
    <w:p>
      <w:pPr>
        <w:pStyle w:val="Paragrafoelenco"/>
        <w:numPr>
          <w:ilvl w:val="0"/>
          <w:numId w:val="19"/>
        </w:numPr>
        <w:jc w:val="both"/>
        <w:rPr>
          <w:rFonts w:ascii="Arial" w:hAnsi="Arial" w:cs="Arial"/>
          <w:sz w:val="22"/>
          <w:szCs w:val="22"/>
        </w:rPr>
      </w:pPr>
      <w:r>
        <w:rPr>
          <w:rFonts w:ascii="Arial" w:hAnsi="Arial" w:cs="Arial"/>
          <w:sz w:val="22"/>
          <w:szCs w:val="22"/>
        </w:rPr>
        <w:t>degli oneri derivanti dalle assunzioni di prestiti;</w:t>
      </w:r>
    </w:p>
    <w:p>
      <w:pPr>
        <w:pStyle w:val="Paragrafoelenco"/>
        <w:numPr>
          <w:ilvl w:val="0"/>
          <w:numId w:val="19"/>
        </w:numPr>
        <w:jc w:val="both"/>
        <w:rPr>
          <w:rFonts w:ascii="Arial" w:hAnsi="Arial" w:cs="Arial"/>
          <w:sz w:val="22"/>
          <w:szCs w:val="22"/>
        </w:rPr>
      </w:pPr>
      <w:r>
        <w:rPr>
          <w:rFonts w:ascii="Arial" w:hAnsi="Arial" w:cs="Arial"/>
          <w:sz w:val="22"/>
          <w:szCs w:val="22"/>
        </w:rPr>
        <w:t>degli effetti derivanti da spese disposte da leggi, contratti ed atti che obbligano giuridicamente l’ente;</w:t>
      </w:r>
    </w:p>
    <w:p>
      <w:pPr>
        <w:pStyle w:val="Paragrafoelenco"/>
        <w:numPr>
          <w:ilvl w:val="0"/>
          <w:numId w:val="19"/>
        </w:numPr>
        <w:jc w:val="both"/>
        <w:rPr>
          <w:rFonts w:ascii="Arial" w:hAnsi="Arial" w:cs="Arial"/>
          <w:sz w:val="22"/>
          <w:szCs w:val="22"/>
        </w:rPr>
      </w:pPr>
      <w:r>
        <w:rPr>
          <w:rFonts w:ascii="Arial" w:hAnsi="Arial" w:cs="Arial"/>
          <w:sz w:val="22"/>
          <w:szCs w:val="22"/>
        </w:rPr>
        <w:t>degli effetti derivanti dalla manovra finanziaria che l’ente ha attuato sulle entrate e sulle spese;</w:t>
      </w:r>
    </w:p>
    <w:p>
      <w:pPr>
        <w:pStyle w:val="Paragrafoelenco"/>
        <w:numPr>
          <w:ilvl w:val="0"/>
          <w:numId w:val="19"/>
        </w:numPr>
        <w:jc w:val="both"/>
        <w:rPr>
          <w:rFonts w:ascii="Arial" w:hAnsi="Arial" w:cs="Arial"/>
          <w:sz w:val="22"/>
          <w:szCs w:val="22"/>
        </w:rPr>
      </w:pPr>
      <w:r>
        <w:rPr>
          <w:rFonts w:ascii="Arial" w:hAnsi="Arial" w:cs="Arial"/>
          <w:sz w:val="22"/>
          <w:szCs w:val="22"/>
        </w:rPr>
        <w:t>dei vincoli sulle spese e riduzioni dei trasferimenti erariali;</w:t>
      </w:r>
    </w:p>
    <w:p>
      <w:pPr>
        <w:pStyle w:val="Paragrafoelenco"/>
        <w:numPr>
          <w:ilvl w:val="0"/>
          <w:numId w:val="19"/>
        </w:numPr>
        <w:jc w:val="both"/>
        <w:rPr>
          <w:rFonts w:ascii="Arial" w:hAnsi="Arial" w:cs="Arial"/>
          <w:sz w:val="22"/>
          <w:szCs w:val="22"/>
        </w:rPr>
      </w:pPr>
      <w:r>
        <w:rPr>
          <w:rFonts w:ascii="Arial" w:hAnsi="Arial" w:cs="Arial"/>
          <w:sz w:val="22"/>
          <w:szCs w:val="22"/>
        </w:rPr>
        <w:t>dei vincoli disposti per il rispetto del saldo obiettivo di finanza pubblica e delle norme relative al concorso degli enti locali alla realizzazione degli obiettivi di finanza pubblica;</w:t>
      </w:r>
    </w:p>
    <w:p>
      <w:pPr>
        <w:pStyle w:val="Paragrafoelenco"/>
        <w:numPr>
          <w:ilvl w:val="0"/>
          <w:numId w:val="19"/>
        </w:numPr>
        <w:jc w:val="both"/>
        <w:rPr>
          <w:rFonts w:ascii="Arial" w:hAnsi="Arial" w:cs="Arial"/>
          <w:sz w:val="22"/>
          <w:szCs w:val="22"/>
        </w:rPr>
      </w:pPr>
      <w:r>
        <w:rPr>
          <w:rFonts w:ascii="Arial" w:hAnsi="Arial" w:cs="Arial"/>
          <w:sz w:val="22"/>
          <w:szCs w:val="22"/>
        </w:rPr>
        <w:t>della quantificazione del fondo crediti di dubbia esigibilità.</w:t>
      </w:r>
    </w:p>
    <w:p>
      <w:pPr>
        <w:tabs>
          <w:tab w:val="left" w:pos="4820"/>
        </w:tabs>
        <w:rPr>
          <w:rFonts w:ascii="Arial" w:hAnsi="Arial" w:cs="Arial"/>
          <w:color w:val="0000FF"/>
          <w:sz w:val="20"/>
        </w:rPr>
      </w:pPr>
    </w:p>
    <w:p>
      <w:pPr>
        <w:tabs>
          <w:tab w:val="left" w:pos="4820"/>
        </w:tabs>
        <w:rPr>
          <w:rFonts w:ascii="Arial" w:hAnsi="Arial" w:cs="Arial"/>
          <w:color w:val="0000FF"/>
          <w:sz w:val="20"/>
        </w:rPr>
      </w:pPr>
    </w:p>
    <w:p>
      <w:pPr>
        <w:rPr>
          <w:rFonts w:ascii="Arial" w:hAnsi="Arial" w:cs="Arial"/>
          <w:b/>
          <w:sz w:val="22"/>
          <w:szCs w:val="22"/>
        </w:rPr>
      </w:pPr>
      <w:r>
        <w:rPr>
          <w:rFonts w:ascii="Arial" w:hAnsi="Arial" w:cs="Arial"/>
          <w:b/>
          <w:sz w:val="22"/>
          <w:szCs w:val="22"/>
        </w:rPr>
        <w:t>b) Riguardo alle previsioni per investimenti</w:t>
      </w:r>
    </w:p>
    <w:p>
      <w:pPr>
        <w:tabs>
          <w:tab w:val="left" w:pos="4820"/>
        </w:tabs>
        <w:spacing w:line="80" w:lineRule="exact"/>
        <w:rPr>
          <w:rFonts w:ascii="Arial" w:hAnsi="Arial" w:cs="Arial"/>
          <w:sz w:val="22"/>
          <w:szCs w:val="22"/>
        </w:rPr>
      </w:pPr>
    </w:p>
    <w:p>
      <w:pPr>
        <w:jc w:val="both"/>
        <w:rPr>
          <w:rFonts w:ascii="Arial" w:hAnsi="Arial" w:cs="Arial"/>
          <w:sz w:val="22"/>
          <w:szCs w:val="22"/>
        </w:rPr>
      </w:pPr>
      <w:r>
        <w:rPr>
          <w:rFonts w:ascii="Arial" w:hAnsi="Arial" w:cs="Arial"/>
          <w:sz w:val="22"/>
          <w:szCs w:val="22"/>
        </w:rPr>
        <w:t>Conforme la previsione dei mezzi di copertura finanziaria e delle spese per investimenti, compreso la modalità di quantificazione e aggiornamento del fondo pluriennale vincolato e le reimputazioni di entrata, all’elenco annuale degli interventi ed al programma triennale dei lavori pubblici, allegati al bilancio.</w:t>
      </w:r>
    </w:p>
    <w:p>
      <w:pPr>
        <w:jc w:val="both"/>
        <w:rPr>
          <w:rFonts w:ascii="Arial" w:hAnsi="Arial" w:cs="Arial"/>
          <w:sz w:val="22"/>
          <w:szCs w:val="22"/>
        </w:rPr>
      </w:pPr>
      <w:r>
        <w:rPr>
          <w:rFonts w:ascii="Arial" w:hAnsi="Arial" w:cs="Arial"/>
          <w:sz w:val="22"/>
          <w:szCs w:val="22"/>
        </w:rPr>
        <w:t>Coerente la previsione di spesa per investimenti con il programma amministrativo, il DUP, ritenendo che la realizzazione degli interventi previsti sarà possibile a condizione che siano concretamente reperiti i finanziamenti.</w:t>
      </w:r>
    </w:p>
    <w:p>
      <w:pPr>
        <w:rPr>
          <w:rFonts w:ascii="Arial" w:hAnsi="Arial" w:cs="Arial"/>
          <w:sz w:val="20"/>
        </w:rPr>
      </w:pPr>
    </w:p>
    <w:p>
      <w:pPr>
        <w:rPr>
          <w:rFonts w:ascii="Arial" w:hAnsi="Arial" w:cs="Arial"/>
          <w:sz w:val="20"/>
        </w:rPr>
      </w:pPr>
    </w:p>
    <w:p>
      <w:pPr>
        <w:pStyle w:val="Paragrafoelenco"/>
        <w:ind w:left="0"/>
        <w:rPr>
          <w:rFonts w:ascii="Arial" w:hAnsi="Arial" w:cs="Arial"/>
          <w:b/>
          <w:sz w:val="22"/>
          <w:szCs w:val="22"/>
        </w:rPr>
      </w:pPr>
      <w:r>
        <w:rPr>
          <w:rFonts w:ascii="Arial" w:hAnsi="Arial" w:cs="Arial"/>
          <w:b/>
          <w:sz w:val="22"/>
          <w:szCs w:val="22"/>
        </w:rPr>
        <w:t xml:space="preserve">c) Riguardo agli obiettivi di finanza pubblica </w:t>
      </w:r>
    </w:p>
    <w:p>
      <w:pPr>
        <w:rPr>
          <w:rFonts w:ascii="Arial" w:hAnsi="Arial" w:cs="Arial"/>
          <w:sz w:val="22"/>
          <w:szCs w:val="22"/>
        </w:rPr>
      </w:pPr>
      <w:r>
        <w:rPr>
          <w:rFonts w:ascii="Arial" w:hAnsi="Arial" w:cs="Arial"/>
          <w:sz w:val="22"/>
          <w:szCs w:val="22"/>
        </w:rPr>
        <w:t>Con le previsioni contenute nello schema di bilancio, l’ente può conseguire negli anni 2018, 2019 e 2020, gli obiettivi di finanza pubblica.</w:t>
      </w:r>
    </w:p>
    <w:p>
      <w:pPr>
        <w:rPr>
          <w:rFonts w:ascii="Arial" w:hAnsi="Arial" w:cs="Arial"/>
          <w:sz w:val="22"/>
          <w:szCs w:val="22"/>
        </w:rPr>
      </w:pPr>
    </w:p>
    <w:p>
      <w:pPr>
        <w:rPr>
          <w:rFonts w:ascii="Arial" w:hAnsi="Arial" w:cs="Arial"/>
          <w:sz w:val="22"/>
          <w:szCs w:val="22"/>
        </w:rPr>
      </w:pPr>
    </w:p>
    <w:p>
      <w:pPr>
        <w:pStyle w:val="Paragrafoelenco"/>
        <w:ind w:left="0"/>
        <w:jc w:val="both"/>
        <w:rPr>
          <w:rFonts w:ascii="Arial" w:hAnsi="Arial" w:cs="Arial"/>
          <w:b/>
          <w:sz w:val="22"/>
          <w:szCs w:val="22"/>
        </w:rPr>
      </w:pPr>
      <w:r>
        <w:rPr>
          <w:rFonts w:ascii="Arial" w:hAnsi="Arial" w:cs="Arial"/>
          <w:b/>
          <w:sz w:val="22"/>
          <w:szCs w:val="22"/>
        </w:rPr>
        <w:t>d) Riguardo alle previsioni di cassa</w:t>
      </w:r>
    </w:p>
    <w:p>
      <w:pPr>
        <w:jc w:val="both"/>
        <w:rPr>
          <w:rFonts w:ascii="Arial" w:hAnsi="Arial" w:cs="Arial"/>
          <w:sz w:val="22"/>
          <w:szCs w:val="22"/>
        </w:rPr>
      </w:pPr>
      <w:r>
        <w:rPr>
          <w:rFonts w:ascii="Arial" w:hAnsi="Arial" w:cs="Arial"/>
          <w:sz w:val="22"/>
          <w:szCs w:val="22"/>
        </w:rPr>
        <w:t>Le previsioni di cassa sono attendibili in relazione all’esigibilità dei residui attivi e delle entrate di competenza, tenuto conto della media degli incassi degli ultimi 5 anni, e congrue in relazione al rispetto dei termini di pagamento con riferimento ai cronoprogrammi e alle scadenze di legge e agli accantonamenti al FCDE.</w:t>
      </w:r>
    </w:p>
    <w:p>
      <w:pPr>
        <w:jc w:val="both"/>
        <w:rPr>
          <w:rFonts w:ascii="Arial" w:hAnsi="Arial" w:cs="Arial"/>
          <w:sz w:val="22"/>
          <w:szCs w:val="22"/>
        </w:rPr>
      </w:pPr>
    </w:p>
    <w:p>
      <w:pPr>
        <w:pStyle w:val="Paragrafoelenco"/>
        <w:ind w:left="0"/>
        <w:jc w:val="both"/>
        <w:rPr>
          <w:rFonts w:ascii="Arial" w:hAnsi="Arial" w:cs="Arial"/>
          <w:b/>
          <w:sz w:val="22"/>
          <w:szCs w:val="22"/>
        </w:rPr>
      </w:pPr>
      <w:r>
        <w:rPr>
          <w:rFonts w:ascii="Arial" w:hAnsi="Arial" w:cs="Arial"/>
          <w:b/>
          <w:sz w:val="22"/>
          <w:szCs w:val="22"/>
        </w:rPr>
        <w:t>e) Invio dati alla banca dati delle amministrazioni pubbliche</w:t>
      </w:r>
    </w:p>
    <w:p>
      <w:pPr>
        <w:jc w:val="both"/>
        <w:rPr>
          <w:rFonts w:ascii="Arial" w:hAnsi="Arial" w:cs="Arial"/>
          <w:color w:val="000000"/>
          <w:sz w:val="22"/>
          <w:szCs w:val="22"/>
        </w:rPr>
      </w:pPr>
      <w:r>
        <w:rPr>
          <w:rFonts w:ascii="Arial" w:hAnsi="Arial" w:cs="Arial"/>
          <w:sz w:val="22"/>
          <w:szCs w:val="22"/>
        </w:rPr>
        <w:t xml:space="preserve">L’organo di revisione richiede il rispetto dei termini per l’invio </w:t>
      </w:r>
      <w:r>
        <w:rPr>
          <w:rFonts w:ascii="Arial" w:hAnsi="Arial" w:cs="Arial"/>
          <w:color w:val="000000"/>
          <w:sz w:val="22"/>
          <w:szCs w:val="22"/>
        </w:rPr>
        <w:t>dei dati relativi al bilancio di previsione entro trenta giorni dalla sua approvazione alla banca dati delle amministrazioni pubbliche di cui all'</w:t>
      </w:r>
      <w:r>
        <w:rPr>
          <w:rFonts w:ascii="Arial" w:hAnsi="Arial" w:cs="Arial"/>
          <w:sz w:val="22"/>
          <w:szCs w:val="22"/>
        </w:rPr>
        <w:t>articolo 13 della Legge 31 dicembre 2009, n. 196</w:t>
      </w:r>
      <w:r>
        <w:rPr>
          <w:rFonts w:ascii="Arial" w:hAnsi="Arial" w:cs="Arial"/>
          <w:color w:val="000000"/>
          <w:sz w:val="22"/>
          <w:szCs w:val="22"/>
        </w:rPr>
        <w:t>, compresi i dati aggregati per voce del piano dei conti integrato, avvertendo che nel caso di mancato rispetto di tale termine, come disposto dal comma 1-</w:t>
      </w:r>
      <w:r>
        <w:rPr>
          <w:rFonts w:ascii="Arial" w:hAnsi="Arial" w:cs="Arial"/>
          <w:i/>
          <w:color w:val="000000"/>
          <w:sz w:val="22"/>
          <w:szCs w:val="22"/>
        </w:rPr>
        <w:t xml:space="preserve">quinquies </w:t>
      </w:r>
      <w:r>
        <w:rPr>
          <w:rFonts w:ascii="Arial" w:hAnsi="Arial" w:cs="Arial"/>
          <w:color w:val="000000"/>
          <w:sz w:val="22"/>
          <w:szCs w:val="22"/>
        </w:rPr>
        <w:t>dell’art. 9 del D.L. n. 113/2016,  non sarà possibile procedere ad assunzioni di personale a qualsiasi titolo, con qualsivoglia tipologia contrattuale, ivi compresi i rapporti di collaborazione coordinata e continuativa e di somministrazione, anche con riferimento ai processi di stabilizzazione in atto, fino a quando non si provvederà all’adempimento. E' fatto altresì divieto di stipulare contratti di servizio con soggetti privati che si configurino come elusivi della disposizione del precedente periodo. </w:t>
      </w:r>
    </w:p>
    <w:p>
      <w:pPr>
        <w:pStyle w:val="Titolo1"/>
        <w:shd w:val="clear" w:color="auto" w:fill="B6DDE8"/>
      </w:pPr>
      <w:bookmarkStart w:id="80" w:name="_Toc408988077"/>
      <w:bookmarkStart w:id="81" w:name="_Toc500328712"/>
      <w:r>
        <w:lastRenderedPageBreak/>
        <w:t>CONCLUSIONI</w:t>
      </w:r>
      <w:bookmarkEnd w:id="80"/>
      <w:bookmarkEnd w:id="81"/>
    </w:p>
    <w:p>
      <w:pPr>
        <w:jc w:val="both"/>
        <w:rPr>
          <w:rFonts w:ascii="Arial" w:hAnsi="Arial" w:cs="Arial"/>
          <w:sz w:val="22"/>
          <w:szCs w:val="22"/>
        </w:rPr>
      </w:pPr>
      <w:r>
        <w:rPr>
          <w:rFonts w:ascii="Arial" w:hAnsi="Arial" w:cs="Arial"/>
          <w:sz w:val="22"/>
          <w:szCs w:val="22"/>
        </w:rPr>
        <w:t>In relazione alle motivazioni specificate nel presente parere, richiamato l’articolo 239 del TUEL e tenuto conto:</w:t>
      </w:r>
    </w:p>
    <w:p>
      <w:pPr>
        <w:numPr>
          <w:ilvl w:val="0"/>
          <w:numId w:val="20"/>
        </w:numPr>
        <w:tabs>
          <w:tab w:val="left" w:pos="360"/>
        </w:tabs>
        <w:spacing w:before="120"/>
        <w:jc w:val="both"/>
        <w:rPr>
          <w:rFonts w:ascii="Arial" w:hAnsi="Arial" w:cs="Arial"/>
          <w:sz w:val="22"/>
          <w:szCs w:val="22"/>
        </w:rPr>
      </w:pPr>
      <w:r>
        <w:rPr>
          <w:rFonts w:ascii="Arial" w:hAnsi="Arial" w:cs="Arial"/>
          <w:sz w:val="22"/>
          <w:szCs w:val="22"/>
        </w:rPr>
        <w:t>del parere espresso sul DUP e sulla Nota di aggiornamento;</w:t>
      </w:r>
    </w:p>
    <w:p>
      <w:pPr>
        <w:numPr>
          <w:ilvl w:val="0"/>
          <w:numId w:val="20"/>
        </w:numPr>
        <w:tabs>
          <w:tab w:val="left" w:pos="360"/>
        </w:tabs>
        <w:spacing w:before="120"/>
        <w:jc w:val="both"/>
        <w:rPr>
          <w:rFonts w:ascii="Arial" w:hAnsi="Arial" w:cs="Arial"/>
          <w:sz w:val="22"/>
          <w:szCs w:val="22"/>
        </w:rPr>
      </w:pPr>
      <w:r>
        <w:rPr>
          <w:rFonts w:ascii="Arial" w:hAnsi="Arial" w:cs="Arial"/>
          <w:sz w:val="22"/>
          <w:szCs w:val="22"/>
        </w:rPr>
        <w:t>del parere espresso dal responsabile del servizio finanziario;</w:t>
      </w:r>
    </w:p>
    <w:p>
      <w:pPr>
        <w:numPr>
          <w:ilvl w:val="0"/>
          <w:numId w:val="20"/>
        </w:numPr>
        <w:tabs>
          <w:tab w:val="left" w:pos="360"/>
        </w:tabs>
        <w:spacing w:before="120"/>
        <w:jc w:val="both"/>
        <w:rPr>
          <w:rFonts w:ascii="Arial" w:hAnsi="Arial" w:cs="Arial"/>
          <w:sz w:val="22"/>
          <w:szCs w:val="22"/>
        </w:rPr>
      </w:pPr>
      <w:r>
        <w:rPr>
          <w:rFonts w:ascii="Arial" w:hAnsi="Arial" w:cs="Arial"/>
          <w:sz w:val="22"/>
          <w:szCs w:val="22"/>
        </w:rPr>
        <w:t>delle variazioni rispetto all’anno precedente;</w:t>
      </w:r>
    </w:p>
    <w:p>
      <w:pPr>
        <w:numPr>
          <w:ilvl w:val="0"/>
          <w:numId w:val="20"/>
        </w:numPr>
        <w:tabs>
          <w:tab w:val="left" w:pos="360"/>
        </w:tabs>
        <w:spacing w:before="120"/>
        <w:jc w:val="both"/>
        <w:rPr>
          <w:rFonts w:ascii="Arial" w:hAnsi="Arial" w:cs="Arial"/>
          <w:sz w:val="22"/>
          <w:szCs w:val="22"/>
        </w:rPr>
      </w:pPr>
      <w:r>
        <w:rPr>
          <w:rFonts w:ascii="Arial" w:hAnsi="Arial" w:cs="Arial"/>
          <w:sz w:val="22"/>
          <w:szCs w:val="22"/>
        </w:rPr>
        <w:t>della verifica effettuata sugli equilibri di competenza e di cassa.</w:t>
      </w:r>
    </w:p>
    <w:p>
      <w:pPr>
        <w:pStyle w:val="BodyText21"/>
        <w:spacing w:before="240"/>
        <w:rPr>
          <w:rFonts w:cs="Arial"/>
          <w:b w:val="0"/>
          <w:i w:val="0"/>
          <w:sz w:val="22"/>
          <w:szCs w:val="22"/>
        </w:rPr>
      </w:pPr>
      <w:r>
        <w:rPr>
          <w:rFonts w:cs="Arial"/>
          <w:b w:val="0"/>
          <w:i w:val="0"/>
          <w:sz w:val="22"/>
          <w:szCs w:val="22"/>
        </w:rPr>
        <w:t>L’organo di revisione:</w:t>
      </w:r>
    </w:p>
    <w:p>
      <w:pPr>
        <w:numPr>
          <w:ilvl w:val="0"/>
          <w:numId w:val="6"/>
        </w:numPr>
        <w:jc w:val="both"/>
        <w:rPr>
          <w:rFonts w:ascii="Arial" w:hAnsi="Arial" w:cs="Arial"/>
          <w:i/>
          <w:sz w:val="22"/>
          <w:szCs w:val="22"/>
        </w:rPr>
      </w:pPr>
      <w:r>
        <w:rPr>
          <w:rFonts w:ascii="Arial" w:hAnsi="Arial" w:cs="Arial"/>
          <w:sz w:val="22"/>
          <w:szCs w:val="22"/>
        </w:rPr>
        <w:t>ha verificato che il bilancio è stato redatto nell’osservanza delle norme di Legge, dello statuto dell’ente, del regolamento di contabilità, dei principi previsti dall’articolo 162 del TUEL e dalle norme del D.Lgs. n.118/2011 e dai principi contabili applicati n.4/1 e n. 4/2 allegati al predetto decreto legislativo;</w:t>
      </w:r>
    </w:p>
    <w:p>
      <w:pPr>
        <w:pStyle w:val="BodyText21"/>
        <w:numPr>
          <w:ilvl w:val="0"/>
          <w:numId w:val="6"/>
        </w:numPr>
        <w:spacing w:before="120"/>
        <w:rPr>
          <w:rFonts w:cs="Arial"/>
          <w:b w:val="0"/>
          <w:i w:val="0"/>
          <w:sz w:val="22"/>
          <w:szCs w:val="22"/>
        </w:rPr>
      </w:pPr>
      <w:r>
        <w:rPr>
          <w:rFonts w:cs="Arial"/>
          <w:b w:val="0"/>
          <w:i w:val="0"/>
          <w:sz w:val="22"/>
          <w:szCs w:val="22"/>
        </w:rPr>
        <w:t>ha rilevato la coerenza interna, la congruità e l’attendibilità contabile delle previsioni di bilancio;</w:t>
      </w:r>
    </w:p>
    <w:p>
      <w:pPr>
        <w:pStyle w:val="BodyText21"/>
        <w:numPr>
          <w:ilvl w:val="0"/>
          <w:numId w:val="6"/>
        </w:numPr>
        <w:spacing w:before="120"/>
        <w:rPr>
          <w:rFonts w:cs="Arial"/>
          <w:b w:val="0"/>
          <w:i w:val="0"/>
          <w:sz w:val="22"/>
          <w:szCs w:val="22"/>
        </w:rPr>
      </w:pPr>
      <w:r>
        <w:rPr>
          <w:rFonts w:cs="Arial"/>
          <w:b w:val="0"/>
          <w:i w:val="0"/>
          <w:sz w:val="22"/>
          <w:szCs w:val="22"/>
        </w:rPr>
        <w:t>ha rilevato la coerenza esterna ed in particolare la possibilità con le previsioni proposte di rispettare i limiti disposti dalle norme relative al concorso degli enti locali alla realizzazione degli obiettivi di finanza pubblica.</w:t>
      </w:r>
    </w:p>
    <w:p>
      <w:pPr>
        <w:pStyle w:val="BodyText21"/>
        <w:spacing w:before="120"/>
        <w:rPr>
          <w:rFonts w:cs="Arial"/>
          <w:b w:val="0"/>
          <w:i w:val="0"/>
          <w:sz w:val="22"/>
          <w:szCs w:val="22"/>
        </w:rPr>
      </w:pPr>
      <w:r>
        <w:rPr>
          <w:rFonts w:cs="Arial"/>
          <w:b w:val="0"/>
          <w:i w:val="0"/>
          <w:sz w:val="22"/>
          <w:szCs w:val="22"/>
        </w:rPr>
        <w:t>Ed esprime, pertanto, parere favorevole sulla proposta di bilancio di previsione 2018-2020 e sui documenti allegati.</w:t>
      </w:r>
    </w:p>
    <w:p>
      <w:pPr>
        <w:tabs>
          <w:tab w:val="left" w:pos="5954"/>
        </w:tabs>
        <w:rPr>
          <w:rFonts w:ascii="Arial" w:hAnsi="Arial" w:cs="Arial"/>
          <w:b/>
        </w:rPr>
      </w:pPr>
    </w:p>
    <w:p>
      <w:pPr>
        <w:tabs>
          <w:tab w:val="left" w:pos="5954"/>
        </w:tabs>
        <w:rPr>
          <w:rFonts w:ascii="Arial" w:hAnsi="Arial" w:cs="Arial"/>
          <w:b/>
        </w:rPr>
      </w:pPr>
    </w:p>
    <w:p>
      <w:pPr>
        <w:tabs>
          <w:tab w:val="left" w:pos="5954"/>
        </w:tabs>
        <w:rPr>
          <w:rFonts w:ascii="Arial" w:hAnsi="Arial" w:cs="Arial"/>
          <w:b/>
        </w:rPr>
      </w:pPr>
    </w:p>
    <w:p>
      <w:pPr>
        <w:tabs>
          <w:tab w:val="left" w:pos="5954"/>
        </w:tabs>
        <w:jc w:val="right"/>
        <w:rPr>
          <w:rFonts w:ascii="Arial" w:hAnsi="Arial" w:cs="Arial"/>
          <w:b/>
        </w:rPr>
      </w:pPr>
      <w:r>
        <w:rPr>
          <w:rFonts w:ascii="Arial" w:hAnsi="Arial" w:cs="Arial"/>
          <w:b/>
        </w:rPr>
        <w:t xml:space="preserve">REVISORE UNICO </w:t>
      </w:r>
    </w:p>
    <w:p>
      <w:pPr>
        <w:tabs>
          <w:tab w:val="left" w:pos="5954"/>
        </w:tabs>
        <w:jc w:val="right"/>
        <w:rPr>
          <w:rFonts w:ascii="Arial" w:hAnsi="Arial" w:cs="Arial"/>
          <w:b/>
        </w:rPr>
      </w:pPr>
      <w:r>
        <w:rPr>
          <w:rFonts w:ascii="Arial" w:hAnsi="Arial" w:cs="Arial"/>
          <w:b/>
        </w:rPr>
        <w:t>PAPALIA DOTT. DOMENICO</w:t>
      </w:r>
    </w:p>
    <w:sectPr>
      <w:headerReference w:type="default" r:id="rId53"/>
      <w:footerReference w:type="even" r:id="rId54"/>
      <w:footerReference w:type="default" r:id="rId55"/>
      <w:type w:val="continuous"/>
      <w:pgSz w:w="11906" w:h="16838" w:code="9"/>
      <w:pgMar w:top="1417" w:right="1134" w:bottom="1134" w:left="1134" w:header="709"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Futur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Albany AMT">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Bdr>
        <w:top w:val="single" w:sz="4" w:space="1" w:color="auto"/>
      </w:pBdr>
      <w:tabs>
        <w:tab w:val="left" w:pos="0"/>
        <w:tab w:val="right" w:pos="9306"/>
      </w:tabs>
      <w:rPr>
        <w:rFonts w:ascii="Arial" w:hAnsi="Arial" w:cs="Arial"/>
        <w:b/>
        <w:sz w:val="18"/>
        <w:szCs w:val="20"/>
      </w:rPr>
    </w:pPr>
    <w:r>
      <w:rPr>
        <w:rFonts w:ascii="Arial" w:hAnsi="Arial" w:cs="Arial"/>
        <w:b/>
        <w:sz w:val="18"/>
        <w:szCs w:val="20"/>
      </w:rPr>
      <w:t xml:space="preserve">Parere dell’Organo di Revisione sul bilancio di previsione 2018-2020 </w:t>
    </w:r>
    <w:r>
      <w:rPr>
        <w:rFonts w:ascii="Arial" w:hAnsi="Arial" w:cs="Arial"/>
        <w:b/>
        <w:sz w:val="18"/>
        <w:szCs w:val="20"/>
      </w:rPr>
      <w:tab/>
      <w:t xml:space="preserve">Pagina </w:t>
    </w:r>
    <w:r>
      <w:rPr>
        <w:rFonts w:ascii="Arial" w:hAnsi="Arial" w:cs="Arial"/>
        <w:b/>
        <w:sz w:val="18"/>
        <w:szCs w:val="20"/>
      </w:rPr>
      <w:fldChar w:fldCharType="begin"/>
    </w:r>
    <w:r>
      <w:rPr>
        <w:rFonts w:ascii="Arial" w:hAnsi="Arial" w:cs="Arial"/>
        <w:b/>
        <w:sz w:val="18"/>
        <w:szCs w:val="20"/>
      </w:rPr>
      <w:instrText xml:space="preserve"> PAGE </w:instrText>
    </w:r>
    <w:r>
      <w:rPr>
        <w:rFonts w:ascii="Arial" w:hAnsi="Arial" w:cs="Arial"/>
        <w:b/>
        <w:sz w:val="18"/>
        <w:szCs w:val="20"/>
      </w:rPr>
      <w:fldChar w:fldCharType="separate"/>
    </w:r>
    <w:r>
      <w:rPr>
        <w:rFonts w:ascii="Arial" w:hAnsi="Arial" w:cs="Arial"/>
        <w:b/>
        <w:noProof/>
        <w:sz w:val="18"/>
        <w:szCs w:val="20"/>
      </w:rPr>
      <w:t>21</w:t>
    </w:r>
    <w:r>
      <w:rPr>
        <w:rFonts w:ascii="Arial" w:hAnsi="Arial" w:cs="Arial"/>
        <w:b/>
        <w:sz w:val="18"/>
        <w:szCs w:val="20"/>
      </w:rPr>
      <w:fldChar w:fldCharType="end"/>
    </w:r>
    <w:r>
      <w:rPr>
        <w:rFonts w:ascii="Arial" w:hAnsi="Arial" w:cs="Arial"/>
        <w:b/>
        <w:sz w:val="18"/>
        <w:szCs w:val="20"/>
      </w:rPr>
      <w:t xml:space="preserve"> di </w:t>
    </w:r>
    <w:r>
      <w:rPr>
        <w:rFonts w:ascii="Arial" w:hAnsi="Arial" w:cs="Arial"/>
        <w:b/>
        <w:sz w:val="18"/>
        <w:szCs w:val="20"/>
      </w:rPr>
      <w:fldChar w:fldCharType="begin"/>
    </w:r>
    <w:r>
      <w:rPr>
        <w:rFonts w:ascii="Arial" w:hAnsi="Arial" w:cs="Arial"/>
        <w:b/>
        <w:sz w:val="18"/>
        <w:szCs w:val="20"/>
      </w:rPr>
      <w:instrText xml:space="preserve"> NUMPAGES  </w:instrText>
    </w:r>
    <w:r>
      <w:rPr>
        <w:rFonts w:ascii="Arial" w:hAnsi="Arial" w:cs="Arial"/>
        <w:b/>
        <w:sz w:val="18"/>
        <w:szCs w:val="20"/>
      </w:rPr>
      <w:fldChar w:fldCharType="separate"/>
    </w:r>
    <w:r>
      <w:rPr>
        <w:rFonts w:ascii="Arial" w:hAnsi="Arial" w:cs="Arial"/>
        <w:b/>
        <w:noProof/>
        <w:sz w:val="18"/>
        <w:szCs w:val="20"/>
      </w:rPr>
      <w:t>26</w:t>
    </w:r>
    <w:r>
      <w:rPr>
        <w:rFonts w:ascii="Arial" w:hAnsi="Arial" w:cs="Arial"/>
        <w:b/>
        <w:sz w:val="18"/>
        <w:szCs w:val="20"/>
      </w:rPr>
      <w:fldChar w:fldCharType="end"/>
    </w:r>
  </w:p>
  <w:p>
    <w:pPr>
      <w:pStyle w:val="Pidipagina"/>
      <w:pBdr>
        <w:top w:val="none" w:sz="0" w:space="0" w:color="auto"/>
      </w:pBdr>
      <w:tabs>
        <w:tab w:val="left" w:pos="0"/>
        <w:tab w:val="left" w:pos="8190"/>
      </w:tabs>
      <w:ind w:right="-50"/>
      <w:jc w:val="left"/>
      <w:rPr>
        <w:rFonts w:ascii="Garamond" w:hAnsi="Garamond"/>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Intestazione"/>
      <w:jc w:val="right"/>
      <w:rPr>
        <w:rFonts w:cs="Arial"/>
        <w:b/>
        <w:sz w:val="20"/>
      </w:rPr>
    </w:pPr>
    <w:r>
      <w:rPr>
        <w:rFonts w:cs="Arial"/>
        <w:b/>
        <w:sz w:val="20"/>
      </w:rPr>
      <w:t>Comune di Lagnasco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3CB9"/>
    <w:multiLevelType w:val="hybridMultilevel"/>
    <w:tmpl w:val="522A6A5C"/>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BDA68A6"/>
    <w:multiLevelType w:val="hybridMultilevel"/>
    <w:tmpl w:val="C03C4E4E"/>
    <w:lvl w:ilvl="0" w:tplc="73748356">
      <w:start w:val="1"/>
      <w:numFmt w:val="bullet"/>
      <w:lvlText w:val="-"/>
      <w:lvlJc w:val="left"/>
      <w:pPr>
        <w:tabs>
          <w:tab w:val="num" w:pos="786"/>
        </w:tabs>
        <w:ind w:left="786" w:hanging="360"/>
      </w:pPr>
      <w:rPr>
        <w:rFonts w:ascii="Times New Roman" w:eastAsia="Times New Roman" w:hAnsi="Times New Roman" w:hint="default"/>
      </w:rPr>
    </w:lvl>
    <w:lvl w:ilvl="1" w:tplc="31D645D6">
      <w:start w:val="1"/>
      <w:numFmt w:val="decimal"/>
      <w:lvlText w:val="%2."/>
      <w:lvlJc w:val="left"/>
      <w:pPr>
        <w:tabs>
          <w:tab w:val="num" w:pos="1440"/>
        </w:tabs>
        <w:ind w:left="1440" w:hanging="360"/>
      </w:pPr>
      <w:rPr>
        <w:rFonts w:cs="Times New Roman"/>
      </w:rPr>
    </w:lvl>
    <w:lvl w:ilvl="2" w:tplc="7EF84F82">
      <w:start w:val="1"/>
      <w:numFmt w:val="decimal"/>
      <w:lvlText w:val="%3."/>
      <w:lvlJc w:val="left"/>
      <w:pPr>
        <w:tabs>
          <w:tab w:val="num" w:pos="2160"/>
        </w:tabs>
        <w:ind w:left="2160" w:hanging="360"/>
      </w:pPr>
      <w:rPr>
        <w:rFonts w:cs="Times New Roman"/>
      </w:rPr>
    </w:lvl>
    <w:lvl w:ilvl="3" w:tplc="AD4E1844">
      <w:start w:val="1"/>
      <w:numFmt w:val="decimal"/>
      <w:lvlText w:val="%4."/>
      <w:lvlJc w:val="left"/>
      <w:pPr>
        <w:tabs>
          <w:tab w:val="num" w:pos="2880"/>
        </w:tabs>
        <w:ind w:left="2880" w:hanging="360"/>
      </w:pPr>
      <w:rPr>
        <w:rFonts w:cs="Times New Roman"/>
      </w:rPr>
    </w:lvl>
    <w:lvl w:ilvl="4" w:tplc="69021174">
      <w:start w:val="1"/>
      <w:numFmt w:val="decimal"/>
      <w:lvlText w:val="%5."/>
      <w:lvlJc w:val="left"/>
      <w:pPr>
        <w:tabs>
          <w:tab w:val="num" w:pos="3600"/>
        </w:tabs>
        <w:ind w:left="3600" w:hanging="360"/>
      </w:pPr>
      <w:rPr>
        <w:rFonts w:cs="Times New Roman"/>
      </w:rPr>
    </w:lvl>
    <w:lvl w:ilvl="5" w:tplc="E0B88BC0">
      <w:start w:val="1"/>
      <w:numFmt w:val="decimal"/>
      <w:lvlText w:val="%6."/>
      <w:lvlJc w:val="left"/>
      <w:pPr>
        <w:tabs>
          <w:tab w:val="num" w:pos="4320"/>
        </w:tabs>
        <w:ind w:left="4320" w:hanging="360"/>
      </w:pPr>
      <w:rPr>
        <w:rFonts w:cs="Times New Roman"/>
      </w:rPr>
    </w:lvl>
    <w:lvl w:ilvl="6" w:tplc="E94A3C18">
      <w:start w:val="1"/>
      <w:numFmt w:val="decimal"/>
      <w:lvlText w:val="%7."/>
      <w:lvlJc w:val="left"/>
      <w:pPr>
        <w:tabs>
          <w:tab w:val="num" w:pos="5040"/>
        </w:tabs>
        <w:ind w:left="5040" w:hanging="360"/>
      </w:pPr>
      <w:rPr>
        <w:rFonts w:cs="Times New Roman"/>
      </w:rPr>
    </w:lvl>
    <w:lvl w:ilvl="7" w:tplc="AFFCD71C">
      <w:start w:val="1"/>
      <w:numFmt w:val="decimal"/>
      <w:lvlText w:val="%8."/>
      <w:lvlJc w:val="left"/>
      <w:pPr>
        <w:tabs>
          <w:tab w:val="num" w:pos="5760"/>
        </w:tabs>
        <w:ind w:left="5760" w:hanging="360"/>
      </w:pPr>
      <w:rPr>
        <w:rFonts w:cs="Times New Roman"/>
      </w:rPr>
    </w:lvl>
    <w:lvl w:ilvl="8" w:tplc="06F40CDA">
      <w:start w:val="1"/>
      <w:numFmt w:val="decimal"/>
      <w:lvlText w:val="%9."/>
      <w:lvlJc w:val="left"/>
      <w:pPr>
        <w:tabs>
          <w:tab w:val="num" w:pos="6480"/>
        </w:tabs>
        <w:ind w:left="6480" w:hanging="360"/>
      </w:pPr>
      <w:rPr>
        <w:rFonts w:cs="Times New Roman"/>
      </w:rPr>
    </w:lvl>
  </w:abstractNum>
  <w:abstractNum w:abstractNumId="2" w15:restartNumberingAfterBreak="0">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9C3F78"/>
    <w:multiLevelType w:val="hybridMultilevel"/>
    <w:tmpl w:val="4C74514A"/>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8C1BBC"/>
    <w:multiLevelType w:val="hybridMultilevel"/>
    <w:tmpl w:val="DC18082A"/>
    <w:lvl w:ilvl="0" w:tplc="F9BC5D8E">
      <w:start w:val="1"/>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CCE441F"/>
    <w:multiLevelType w:val="hybridMultilevel"/>
    <w:tmpl w:val="2974A968"/>
    <w:lvl w:ilvl="0" w:tplc="04100017">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27B61E80"/>
    <w:multiLevelType w:val="hybridMultilevel"/>
    <w:tmpl w:val="17A6C0FC"/>
    <w:lvl w:ilvl="0" w:tplc="04100017">
      <w:start w:val="1"/>
      <w:numFmt w:val="lowerLetter"/>
      <w:lvlText w:val="%1)"/>
      <w:lvlJc w:val="left"/>
      <w:pPr>
        <w:ind w:left="36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2CB2614E"/>
    <w:multiLevelType w:val="multilevel"/>
    <w:tmpl w:val="39F60982"/>
    <w:lvl w:ilvl="0">
      <w:start w:val="1"/>
      <w:numFmt w:val="bullet"/>
      <w:lvlText w:val=""/>
      <w:lvlJc w:val="left"/>
      <w:pPr>
        <w:ind w:left="360" w:hanging="360"/>
      </w:pPr>
      <w:rPr>
        <w:rFonts w:ascii="Symbol" w:hAnsi="Symbol"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8" w15:restartNumberingAfterBreak="0">
    <w:nsid w:val="32616650"/>
    <w:multiLevelType w:val="hybridMultilevel"/>
    <w:tmpl w:val="FF7E1560"/>
    <w:lvl w:ilvl="0" w:tplc="04100017">
      <w:start w:val="8"/>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3BFB5AE0"/>
    <w:multiLevelType w:val="hybridMultilevel"/>
    <w:tmpl w:val="13002C18"/>
    <w:lvl w:ilvl="0" w:tplc="3C2E3542">
      <w:start w:val="1"/>
      <w:numFmt w:val="lowerLetter"/>
      <w:lvlText w:val="%1)"/>
      <w:lvlJc w:val="left"/>
      <w:pPr>
        <w:tabs>
          <w:tab w:val="num" w:pos="360"/>
        </w:tabs>
        <w:ind w:left="360" w:hanging="360"/>
      </w:pPr>
      <w:rPr>
        <w:rFonts w:cs="Times New Roman"/>
      </w:rPr>
    </w:lvl>
    <w:lvl w:ilvl="1" w:tplc="73748356">
      <w:start w:val="1"/>
      <w:numFmt w:val="bullet"/>
      <w:lvlText w:val="-"/>
      <w:lvlJc w:val="left"/>
      <w:pPr>
        <w:tabs>
          <w:tab w:val="num" w:pos="1080"/>
        </w:tabs>
        <w:ind w:left="1080" w:hanging="360"/>
      </w:pPr>
      <w:rPr>
        <w:rFonts w:ascii="Times New Roman" w:eastAsia="Times New Roman" w:hAnsi="Times New Roman" w:hint="default"/>
      </w:rPr>
    </w:lvl>
    <w:lvl w:ilvl="2" w:tplc="F8DE199E">
      <w:start w:val="1"/>
      <w:numFmt w:val="decimal"/>
      <w:lvlText w:val="%3."/>
      <w:lvlJc w:val="left"/>
      <w:pPr>
        <w:tabs>
          <w:tab w:val="num" w:pos="2160"/>
        </w:tabs>
        <w:ind w:left="2160" w:hanging="360"/>
      </w:pPr>
      <w:rPr>
        <w:rFonts w:cs="Times New Roman"/>
      </w:rPr>
    </w:lvl>
    <w:lvl w:ilvl="3" w:tplc="051E8D78">
      <w:start w:val="1"/>
      <w:numFmt w:val="decimal"/>
      <w:lvlText w:val="%4."/>
      <w:lvlJc w:val="left"/>
      <w:pPr>
        <w:tabs>
          <w:tab w:val="num" w:pos="2880"/>
        </w:tabs>
        <w:ind w:left="2880" w:hanging="360"/>
      </w:pPr>
      <w:rPr>
        <w:rFonts w:cs="Times New Roman"/>
      </w:rPr>
    </w:lvl>
    <w:lvl w:ilvl="4" w:tplc="DAE052AE">
      <w:start w:val="1"/>
      <w:numFmt w:val="decimal"/>
      <w:lvlText w:val="%5."/>
      <w:lvlJc w:val="left"/>
      <w:pPr>
        <w:tabs>
          <w:tab w:val="num" w:pos="3600"/>
        </w:tabs>
        <w:ind w:left="3600" w:hanging="360"/>
      </w:pPr>
      <w:rPr>
        <w:rFonts w:cs="Times New Roman"/>
      </w:rPr>
    </w:lvl>
    <w:lvl w:ilvl="5" w:tplc="30688BFA">
      <w:start w:val="1"/>
      <w:numFmt w:val="decimal"/>
      <w:lvlText w:val="%6."/>
      <w:lvlJc w:val="left"/>
      <w:pPr>
        <w:tabs>
          <w:tab w:val="num" w:pos="4320"/>
        </w:tabs>
        <w:ind w:left="4320" w:hanging="360"/>
      </w:pPr>
      <w:rPr>
        <w:rFonts w:cs="Times New Roman"/>
      </w:rPr>
    </w:lvl>
    <w:lvl w:ilvl="6" w:tplc="88524830">
      <w:start w:val="1"/>
      <w:numFmt w:val="decimal"/>
      <w:lvlText w:val="%7."/>
      <w:lvlJc w:val="left"/>
      <w:pPr>
        <w:tabs>
          <w:tab w:val="num" w:pos="5040"/>
        </w:tabs>
        <w:ind w:left="5040" w:hanging="360"/>
      </w:pPr>
      <w:rPr>
        <w:rFonts w:cs="Times New Roman"/>
      </w:rPr>
    </w:lvl>
    <w:lvl w:ilvl="7" w:tplc="D0BE8460">
      <w:start w:val="1"/>
      <w:numFmt w:val="decimal"/>
      <w:lvlText w:val="%8."/>
      <w:lvlJc w:val="left"/>
      <w:pPr>
        <w:tabs>
          <w:tab w:val="num" w:pos="5760"/>
        </w:tabs>
        <w:ind w:left="5760" w:hanging="360"/>
      </w:pPr>
      <w:rPr>
        <w:rFonts w:cs="Times New Roman"/>
      </w:rPr>
    </w:lvl>
    <w:lvl w:ilvl="8" w:tplc="F83A53C4">
      <w:start w:val="1"/>
      <w:numFmt w:val="decimal"/>
      <w:lvlText w:val="%9."/>
      <w:lvlJc w:val="left"/>
      <w:pPr>
        <w:tabs>
          <w:tab w:val="num" w:pos="6480"/>
        </w:tabs>
        <w:ind w:left="6480" w:hanging="360"/>
      </w:pPr>
      <w:rPr>
        <w:rFonts w:cs="Times New Roman"/>
      </w:rPr>
    </w:lvl>
  </w:abstractNum>
  <w:abstractNum w:abstractNumId="10" w15:restartNumberingAfterBreak="0">
    <w:nsid w:val="3FC77781"/>
    <w:multiLevelType w:val="multilevel"/>
    <w:tmpl w:val="CA1C0896"/>
    <w:lvl w:ilvl="0">
      <w:start w:val="1"/>
      <w:numFmt w:val="lowerLetter"/>
      <w:lvlText w:val="%1)"/>
      <w:lvlJc w:val="left"/>
      <w:pPr>
        <w:ind w:left="360" w:hanging="360"/>
      </w:pPr>
      <w:rPr>
        <w:rFonts w:cs="Times New Roman" w:hint="default"/>
        <w:sz w:val="24"/>
        <w:szCs w:val="24"/>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1" w15:restartNumberingAfterBreak="0">
    <w:nsid w:val="474C77F6"/>
    <w:multiLevelType w:val="multilevel"/>
    <w:tmpl w:val="DDBAE24C"/>
    <w:lvl w:ilvl="0">
      <w:numFmt w:val="bullet"/>
      <w:lvlText w:val="-"/>
      <w:lvlJc w:val="left"/>
      <w:pPr>
        <w:ind w:left="360" w:hanging="360"/>
      </w:pPr>
      <w:rPr>
        <w:rFonts w:ascii="Arial" w:eastAsia="Times New Roman" w:hAnsi="Arial"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2" w15:restartNumberingAfterBreak="0">
    <w:nsid w:val="48327BE1"/>
    <w:multiLevelType w:val="hybridMultilevel"/>
    <w:tmpl w:val="54300C48"/>
    <w:lvl w:ilvl="0" w:tplc="04100001">
      <w:start w:val="1"/>
      <w:numFmt w:val="bullet"/>
      <w:lvlText w:val=""/>
      <w:lvlJc w:val="left"/>
      <w:pPr>
        <w:ind w:left="1639" w:hanging="360"/>
      </w:pPr>
      <w:rPr>
        <w:rFonts w:ascii="Symbol" w:hAnsi="Symbol" w:hint="default"/>
      </w:rPr>
    </w:lvl>
    <w:lvl w:ilvl="1" w:tplc="04100003" w:tentative="1">
      <w:start w:val="1"/>
      <w:numFmt w:val="bullet"/>
      <w:lvlText w:val="o"/>
      <w:lvlJc w:val="left"/>
      <w:pPr>
        <w:ind w:left="2359" w:hanging="360"/>
      </w:pPr>
      <w:rPr>
        <w:rFonts w:ascii="Courier New" w:hAnsi="Courier New" w:hint="default"/>
      </w:rPr>
    </w:lvl>
    <w:lvl w:ilvl="2" w:tplc="04100005" w:tentative="1">
      <w:start w:val="1"/>
      <w:numFmt w:val="bullet"/>
      <w:lvlText w:val=""/>
      <w:lvlJc w:val="left"/>
      <w:pPr>
        <w:ind w:left="3079" w:hanging="360"/>
      </w:pPr>
      <w:rPr>
        <w:rFonts w:ascii="Wingdings" w:hAnsi="Wingdings" w:hint="default"/>
      </w:rPr>
    </w:lvl>
    <w:lvl w:ilvl="3" w:tplc="04100001" w:tentative="1">
      <w:start w:val="1"/>
      <w:numFmt w:val="bullet"/>
      <w:lvlText w:val=""/>
      <w:lvlJc w:val="left"/>
      <w:pPr>
        <w:ind w:left="3799" w:hanging="360"/>
      </w:pPr>
      <w:rPr>
        <w:rFonts w:ascii="Symbol" w:hAnsi="Symbol" w:hint="default"/>
      </w:rPr>
    </w:lvl>
    <w:lvl w:ilvl="4" w:tplc="04100003" w:tentative="1">
      <w:start w:val="1"/>
      <w:numFmt w:val="bullet"/>
      <w:lvlText w:val="o"/>
      <w:lvlJc w:val="left"/>
      <w:pPr>
        <w:ind w:left="4519" w:hanging="360"/>
      </w:pPr>
      <w:rPr>
        <w:rFonts w:ascii="Courier New" w:hAnsi="Courier New" w:hint="default"/>
      </w:rPr>
    </w:lvl>
    <w:lvl w:ilvl="5" w:tplc="04100005" w:tentative="1">
      <w:start w:val="1"/>
      <w:numFmt w:val="bullet"/>
      <w:lvlText w:val=""/>
      <w:lvlJc w:val="left"/>
      <w:pPr>
        <w:ind w:left="5239" w:hanging="360"/>
      </w:pPr>
      <w:rPr>
        <w:rFonts w:ascii="Wingdings" w:hAnsi="Wingdings" w:hint="default"/>
      </w:rPr>
    </w:lvl>
    <w:lvl w:ilvl="6" w:tplc="04100001" w:tentative="1">
      <w:start w:val="1"/>
      <w:numFmt w:val="bullet"/>
      <w:lvlText w:val=""/>
      <w:lvlJc w:val="left"/>
      <w:pPr>
        <w:ind w:left="5959" w:hanging="360"/>
      </w:pPr>
      <w:rPr>
        <w:rFonts w:ascii="Symbol" w:hAnsi="Symbol" w:hint="default"/>
      </w:rPr>
    </w:lvl>
    <w:lvl w:ilvl="7" w:tplc="04100003" w:tentative="1">
      <w:start w:val="1"/>
      <w:numFmt w:val="bullet"/>
      <w:lvlText w:val="o"/>
      <w:lvlJc w:val="left"/>
      <w:pPr>
        <w:ind w:left="6679" w:hanging="360"/>
      </w:pPr>
      <w:rPr>
        <w:rFonts w:ascii="Courier New" w:hAnsi="Courier New" w:hint="default"/>
      </w:rPr>
    </w:lvl>
    <w:lvl w:ilvl="8" w:tplc="04100005" w:tentative="1">
      <w:start w:val="1"/>
      <w:numFmt w:val="bullet"/>
      <w:lvlText w:val=""/>
      <w:lvlJc w:val="left"/>
      <w:pPr>
        <w:ind w:left="7399" w:hanging="360"/>
      </w:pPr>
      <w:rPr>
        <w:rFonts w:ascii="Wingdings" w:hAnsi="Wingdings" w:hint="default"/>
      </w:rPr>
    </w:lvl>
  </w:abstractNum>
  <w:abstractNum w:abstractNumId="13" w15:restartNumberingAfterBreak="0">
    <w:nsid w:val="4B4E285F"/>
    <w:multiLevelType w:val="hybridMultilevel"/>
    <w:tmpl w:val="071E461C"/>
    <w:lvl w:ilvl="0" w:tplc="903AAA68">
      <w:start w:val="166"/>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C85515C"/>
    <w:multiLevelType w:val="hybridMultilevel"/>
    <w:tmpl w:val="140EE472"/>
    <w:lvl w:ilvl="0" w:tplc="8A4600E8">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F716DFC"/>
    <w:multiLevelType w:val="multilevel"/>
    <w:tmpl w:val="3F84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D6556"/>
    <w:multiLevelType w:val="hybridMultilevel"/>
    <w:tmpl w:val="289C4124"/>
    <w:lvl w:ilvl="0" w:tplc="04100017">
      <w:start w:val="12"/>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15:restartNumberingAfterBreak="0">
    <w:nsid w:val="5F5B60BD"/>
    <w:multiLevelType w:val="hybridMultilevel"/>
    <w:tmpl w:val="FC6451E6"/>
    <w:lvl w:ilvl="0" w:tplc="F138A334">
      <w:start w:val="1"/>
      <w:numFmt w:val="bullet"/>
      <w:lvlText w:val="-"/>
      <w:lvlJc w:val="left"/>
      <w:pPr>
        <w:tabs>
          <w:tab w:val="num" w:pos="360"/>
        </w:tabs>
        <w:ind w:left="360" w:hanging="360"/>
      </w:pPr>
      <w:rPr>
        <w:rFonts w:ascii="Times New Roman" w:eastAsia="Times New Roman" w:hAnsi="Times New Roman" w:hint="default"/>
      </w:rPr>
    </w:lvl>
    <w:lvl w:ilvl="1" w:tplc="8D10318E" w:tentative="1">
      <w:start w:val="1"/>
      <w:numFmt w:val="bullet"/>
      <w:lvlText w:val="o"/>
      <w:lvlJc w:val="left"/>
      <w:pPr>
        <w:tabs>
          <w:tab w:val="num" w:pos="1440"/>
        </w:tabs>
        <w:ind w:left="1440" w:hanging="360"/>
      </w:pPr>
      <w:rPr>
        <w:rFonts w:ascii="Courier New" w:hAnsi="Courier New" w:hint="default"/>
      </w:rPr>
    </w:lvl>
    <w:lvl w:ilvl="2" w:tplc="7DC436CA" w:tentative="1">
      <w:start w:val="1"/>
      <w:numFmt w:val="bullet"/>
      <w:lvlText w:val=""/>
      <w:lvlJc w:val="left"/>
      <w:pPr>
        <w:tabs>
          <w:tab w:val="num" w:pos="2160"/>
        </w:tabs>
        <w:ind w:left="2160" w:hanging="360"/>
      </w:pPr>
      <w:rPr>
        <w:rFonts w:ascii="Wingdings" w:hAnsi="Wingdings" w:hint="default"/>
      </w:rPr>
    </w:lvl>
    <w:lvl w:ilvl="3" w:tplc="68DE7CBC" w:tentative="1">
      <w:start w:val="1"/>
      <w:numFmt w:val="bullet"/>
      <w:lvlText w:val=""/>
      <w:lvlJc w:val="left"/>
      <w:pPr>
        <w:tabs>
          <w:tab w:val="num" w:pos="2880"/>
        </w:tabs>
        <w:ind w:left="2880" w:hanging="360"/>
      </w:pPr>
      <w:rPr>
        <w:rFonts w:ascii="Symbol" w:hAnsi="Symbol" w:hint="default"/>
      </w:rPr>
    </w:lvl>
    <w:lvl w:ilvl="4" w:tplc="DF2AECFC" w:tentative="1">
      <w:start w:val="1"/>
      <w:numFmt w:val="bullet"/>
      <w:lvlText w:val="o"/>
      <w:lvlJc w:val="left"/>
      <w:pPr>
        <w:tabs>
          <w:tab w:val="num" w:pos="3600"/>
        </w:tabs>
        <w:ind w:left="3600" w:hanging="360"/>
      </w:pPr>
      <w:rPr>
        <w:rFonts w:ascii="Courier New" w:hAnsi="Courier New" w:hint="default"/>
      </w:rPr>
    </w:lvl>
    <w:lvl w:ilvl="5" w:tplc="01D0F7D4" w:tentative="1">
      <w:start w:val="1"/>
      <w:numFmt w:val="bullet"/>
      <w:lvlText w:val=""/>
      <w:lvlJc w:val="left"/>
      <w:pPr>
        <w:tabs>
          <w:tab w:val="num" w:pos="4320"/>
        </w:tabs>
        <w:ind w:left="4320" w:hanging="360"/>
      </w:pPr>
      <w:rPr>
        <w:rFonts w:ascii="Wingdings" w:hAnsi="Wingdings" w:hint="default"/>
      </w:rPr>
    </w:lvl>
    <w:lvl w:ilvl="6" w:tplc="0A6AE94E" w:tentative="1">
      <w:start w:val="1"/>
      <w:numFmt w:val="bullet"/>
      <w:lvlText w:val=""/>
      <w:lvlJc w:val="left"/>
      <w:pPr>
        <w:tabs>
          <w:tab w:val="num" w:pos="5040"/>
        </w:tabs>
        <w:ind w:left="5040" w:hanging="360"/>
      </w:pPr>
      <w:rPr>
        <w:rFonts w:ascii="Symbol" w:hAnsi="Symbol" w:hint="default"/>
      </w:rPr>
    </w:lvl>
    <w:lvl w:ilvl="7" w:tplc="112654A6" w:tentative="1">
      <w:start w:val="1"/>
      <w:numFmt w:val="bullet"/>
      <w:lvlText w:val="o"/>
      <w:lvlJc w:val="left"/>
      <w:pPr>
        <w:tabs>
          <w:tab w:val="num" w:pos="5760"/>
        </w:tabs>
        <w:ind w:left="5760" w:hanging="360"/>
      </w:pPr>
      <w:rPr>
        <w:rFonts w:ascii="Courier New" w:hAnsi="Courier New" w:hint="default"/>
      </w:rPr>
    </w:lvl>
    <w:lvl w:ilvl="8" w:tplc="DF08EC5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6B1CA1"/>
    <w:multiLevelType w:val="multilevel"/>
    <w:tmpl w:val="173CCA70"/>
    <w:lvl w:ilvl="0">
      <w:start w:val="1"/>
      <w:numFmt w:val="bullet"/>
      <w:lvlText w:val=""/>
      <w:lvlJc w:val="left"/>
      <w:pPr>
        <w:ind w:left="360" w:hanging="360"/>
      </w:pPr>
      <w:rPr>
        <w:rFonts w:ascii="Symbol" w:hAnsi="Symbol"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9" w15:restartNumberingAfterBreak="0">
    <w:nsid w:val="61C74FF6"/>
    <w:multiLevelType w:val="hybridMultilevel"/>
    <w:tmpl w:val="4DFAD87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15:restartNumberingAfterBreak="0">
    <w:nsid w:val="6BEE4A64"/>
    <w:multiLevelType w:val="hybridMultilevel"/>
    <w:tmpl w:val="17A6C0FC"/>
    <w:lvl w:ilvl="0" w:tplc="04100017">
      <w:start w:val="1"/>
      <w:numFmt w:val="lowerLetter"/>
      <w:lvlText w:val="%1)"/>
      <w:lvlJc w:val="left"/>
      <w:pPr>
        <w:ind w:left="502"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15:restartNumberingAfterBreak="0">
    <w:nsid w:val="6F515856"/>
    <w:multiLevelType w:val="hybridMultilevel"/>
    <w:tmpl w:val="53F655EC"/>
    <w:lvl w:ilvl="0" w:tplc="3C2E3542">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15:restartNumberingAfterBreak="0">
    <w:nsid w:val="71132A5E"/>
    <w:multiLevelType w:val="hybridMultilevel"/>
    <w:tmpl w:val="75B03EC0"/>
    <w:lvl w:ilvl="0" w:tplc="43A81B18">
      <w:numFmt w:val="bullet"/>
      <w:lvlText w:val="-"/>
      <w:lvlJc w:val="left"/>
      <w:pPr>
        <w:tabs>
          <w:tab w:val="num" w:pos="720"/>
        </w:tabs>
        <w:ind w:left="720" w:hanging="360"/>
      </w:pPr>
      <w:rPr>
        <w:rFonts w:ascii="Arial" w:eastAsia="Times New Roman" w:hAnsi="Arial" w:hint="default"/>
      </w:rPr>
    </w:lvl>
    <w:lvl w:ilvl="1" w:tplc="F0F6B994" w:tentative="1">
      <w:start w:val="1"/>
      <w:numFmt w:val="bullet"/>
      <w:lvlText w:val="o"/>
      <w:lvlJc w:val="left"/>
      <w:pPr>
        <w:tabs>
          <w:tab w:val="num" w:pos="1440"/>
        </w:tabs>
        <w:ind w:left="1440" w:hanging="360"/>
      </w:pPr>
      <w:rPr>
        <w:rFonts w:ascii="Courier New" w:hAnsi="Courier New" w:hint="default"/>
      </w:rPr>
    </w:lvl>
    <w:lvl w:ilvl="2" w:tplc="F222C8DE" w:tentative="1">
      <w:start w:val="1"/>
      <w:numFmt w:val="bullet"/>
      <w:lvlText w:val=""/>
      <w:lvlJc w:val="left"/>
      <w:pPr>
        <w:tabs>
          <w:tab w:val="num" w:pos="2160"/>
        </w:tabs>
        <w:ind w:left="2160" w:hanging="360"/>
      </w:pPr>
      <w:rPr>
        <w:rFonts w:ascii="Wingdings" w:hAnsi="Wingdings" w:hint="default"/>
      </w:rPr>
    </w:lvl>
    <w:lvl w:ilvl="3" w:tplc="7A547E1E" w:tentative="1">
      <w:start w:val="1"/>
      <w:numFmt w:val="bullet"/>
      <w:lvlText w:val=""/>
      <w:lvlJc w:val="left"/>
      <w:pPr>
        <w:tabs>
          <w:tab w:val="num" w:pos="2880"/>
        </w:tabs>
        <w:ind w:left="2880" w:hanging="360"/>
      </w:pPr>
      <w:rPr>
        <w:rFonts w:ascii="Symbol" w:hAnsi="Symbol" w:hint="default"/>
      </w:rPr>
    </w:lvl>
    <w:lvl w:ilvl="4" w:tplc="A5BA637C" w:tentative="1">
      <w:start w:val="1"/>
      <w:numFmt w:val="bullet"/>
      <w:lvlText w:val="o"/>
      <w:lvlJc w:val="left"/>
      <w:pPr>
        <w:tabs>
          <w:tab w:val="num" w:pos="3600"/>
        </w:tabs>
        <w:ind w:left="3600" w:hanging="360"/>
      </w:pPr>
      <w:rPr>
        <w:rFonts w:ascii="Courier New" w:hAnsi="Courier New" w:hint="default"/>
      </w:rPr>
    </w:lvl>
    <w:lvl w:ilvl="5" w:tplc="2662D30C" w:tentative="1">
      <w:start w:val="1"/>
      <w:numFmt w:val="bullet"/>
      <w:lvlText w:val=""/>
      <w:lvlJc w:val="left"/>
      <w:pPr>
        <w:tabs>
          <w:tab w:val="num" w:pos="4320"/>
        </w:tabs>
        <w:ind w:left="4320" w:hanging="360"/>
      </w:pPr>
      <w:rPr>
        <w:rFonts w:ascii="Wingdings" w:hAnsi="Wingdings" w:hint="default"/>
      </w:rPr>
    </w:lvl>
    <w:lvl w:ilvl="6" w:tplc="13EED308" w:tentative="1">
      <w:start w:val="1"/>
      <w:numFmt w:val="bullet"/>
      <w:lvlText w:val=""/>
      <w:lvlJc w:val="left"/>
      <w:pPr>
        <w:tabs>
          <w:tab w:val="num" w:pos="5040"/>
        </w:tabs>
        <w:ind w:left="5040" w:hanging="360"/>
      </w:pPr>
      <w:rPr>
        <w:rFonts w:ascii="Symbol" w:hAnsi="Symbol" w:hint="default"/>
      </w:rPr>
    </w:lvl>
    <w:lvl w:ilvl="7" w:tplc="6F2EC11A" w:tentative="1">
      <w:start w:val="1"/>
      <w:numFmt w:val="bullet"/>
      <w:lvlText w:val="o"/>
      <w:lvlJc w:val="left"/>
      <w:pPr>
        <w:tabs>
          <w:tab w:val="num" w:pos="5760"/>
        </w:tabs>
        <w:ind w:left="5760" w:hanging="360"/>
      </w:pPr>
      <w:rPr>
        <w:rFonts w:ascii="Courier New" w:hAnsi="Courier New" w:hint="default"/>
      </w:rPr>
    </w:lvl>
    <w:lvl w:ilvl="8" w:tplc="91DC1F8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53509B"/>
    <w:multiLevelType w:val="hybridMultilevel"/>
    <w:tmpl w:val="3D683638"/>
    <w:lvl w:ilvl="0" w:tplc="B9B03E4A">
      <w:start w:val="1"/>
      <w:numFmt w:val="bullet"/>
      <w:lvlText w:val="-"/>
      <w:lvlJc w:val="left"/>
      <w:pPr>
        <w:tabs>
          <w:tab w:val="num" w:pos="360"/>
        </w:tabs>
        <w:ind w:left="360" w:hanging="360"/>
      </w:pPr>
      <w:rPr>
        <w:rFonts w:ascii="Times New Roman" w:eastAsia="Times New Roman" w:hAnsi="Times New Roman" w:hint="default"/>
      </w:rPr>
    </w:lvl>
    <w:lvl w:ilvl="1" w:tplc="E806CE44">
      <w:start w:val="1"/>
      <w:numFmt w:val="decimal"/>
      <w:lvlText w:val="%2."/>
      <w:lvlJc w:val="left"/>
      <w:pPr>
        <w:tabs>
          <w:tab w:val="num" w:pos="1440"/>
        </w:tabs>
        <w:ind w:left="1440" w:hanging="360"/>
      </w:pPr>
      <w:rPr>
        <w:rFonts w:cs="Times New Roman"/>
      </w:rPr>
    </w:lvl>
    <w:lvl w:ilvl="2" w:tplc="A62696FE">
      <w:start w:val="1"/>
      <w:numFmt w:val="decimal"/>
      <w:lvlText w:val="%3."/>
      <w:lvlJc w:val="left"/>
      <w:pPr>
        <w:tabs>
          <w:tab w:val="num" w:pos="2160"/>
        </w:tabs>
        <w:ind w:left="2160" w:hanging="360"/>
      </w:pPr>
      <w:rPr>
        <w:rFonts w:cs="Times New Roman"/>
      </w:rPr>
    </w:lvl>
    <w:lvl w:ilvl="3" w:tplc="1960CB46">
      <w:start w:val="1"/>
      <w:numFmt w:val="decimal"/>
      <w:lvlText w:val="%4."/>
      <w:lvlJc w:val="left"/>
      <w:pPr>
        <w:tabs>
          <w:tab w:val="num" w:pos="2880"/>
        </w:tabs>
        <w:ind w:left="2880" w:hanging="360"/>
      </w:pPr>
      <w:rPr>
        <w:rFonts w:cs="Times New Roman"/>
      </w:rPr>
    </w:lvl>
    <w:lvl w:ilvl="4" w:tplc="B5A28A5A">
      <w:start w:val="1"/>
      <w:numFmt w:val="decimal"/>
      <w:lvlText w:val="%5."/>
      <w:lvlJc w:val="left"/>
      <w:pPr>
        <w:tabs>
          <w:tab w:val="num" w:pos="3600"/>
        </w:tabs>
        <w:ind w:left="3600" w:hanging="360"/>
      </w:pPr>
      <w:rPr>
        <w:rFonts w:cs="Times New Roman"/>
      </w:rPr>
    </w:lvl>
    <w:lvl w:ilvl="5" w:tplc="13BC87D4">
      <w:start w:val="1"/>
      <w:numFmt w:val="decimal"/>
      <w:lvlText w:val="%6."/>
      <w:lvlJc w:val="left"/>
      <w:pPr>
        <w:tabs>
          <w:tab w:val="num" w:pos="4320"/>
        </w:tabs>
        <w:ind w:left="4320" w:hanging="360"/>
      </w:pPr>
      <w:rPr>
        <w:rFonts w:cs="Times New Roman"/>
      </w:rPr>
    </w:lvl>
    <w:lvl w:ilvl="6" w:tplc="4692B3E2">
      <w:start w:val="1"/>
      <w:numFmt w:val="decimal"/>
      <w:lvlText w:val="%7."/>
      <w:lvlJc w:val="left"/>
      <w:pPr>
        <w:tabs>
          <w:tab w:val="num" w:pos="5040"/>
        </w:tabs>
        <w:ind w:left="5040" w:hanging="360"/>
      </w:pPr>
      <w:rPr>
        <w:rFonts w:cs="Times New Roman"/>
      </w:rPr>
    </w:lvl>
    <w:lvl w:ilvl="7" w:tplc="6F963A08">
      <w:start w:val="1"/>
      <w:numFmt w:val="decimal"/>
      <w:lvlText w:val="%8."/>
      <w:lvlJc w:val="left"/>
      <w:pPr>
        <w:tabs>
          <w:tab w:val="num" w:pos="5760"/>
        </w:tabs>
        <w:ind w:left="5760" w:hanging="360"/>
      </w:pPr>
      <w:rPr>
        <w:rFonts w:cs="Times New Roman"/>
      </w:rPr>
    </w:lvl>
    <w:lvl w:ilvl="8" w:tplc="ADDA0F5A">
      <w:start w:val="1"/>
      <w:numFmt w:val="decimal"/>
      <w:lvlText w:val="%9."/>
      <w:lvlJc w:val="left"/>
      <w:pPr>
        <w:tabs>
          <w:tab w:val="num" w:pos="6480"/>
        </w:tabs>
        <w:ind w:left="6480" w:hanging="360"/>
      </w:pPr>
      <w:rPr>
        <w:rFonts w:cs="Times New Roman"/>
      </w:rPr>
    </w:lvl>
  </w:abstractNum>
  <w:abstractNum w:abstractNumId="24" w15:restartNumberingAfterBreak="0">
    <w:nsid w:val="72AF7C0F"/>
    <w:multiLevelType w:val="hybridMultilevel"/>
    <w:tmpl w:val="43520E5E"/>
    <w:lvl w:ilvl="0" w:tplc="7A4C59BE">
      <w:start w:val="1"/>
      <w:numFmt w:val="bullet"/>
      <w:lvlText w:val="-"/>
      <w:lvlJc w:val="left"/>
      <w:pPr>
        <w:tabs>
          <w:tab w:val="num" w:pos="360"/>
        </w:tabs>
        <w:ind w:left="360" w:hanging="360"/>
      </w:pPr>
      <w:rPr>
        <w:rFonts w:ascii="Times New Roman" w:eastAsia="Times New Roman" w:hAnsi="Times New Roman" w:hint="default"/>
      </w:rPr>
    </w:lvl>
    <w:lvl w:ilvl="1" w:tplc="63A8B3F2">
      <w:start w:val="1"/>
      <w:numFmt w:val="decimal"/>
      <w:lvlText w:val="%2."/>
      <w:lvlJc w:val="left"/>
      <w:pPr>
        <w:tabs>
          <w:tab w:val="num" w:pos="1440"/>
        </w:tabs>
        <w:ind w:left="1440" w:hanging="360"/>
      </w:pPr>
      <w:rPr>
        <w:rFonts w:cs="Times New Roman"/>
      </w:rPr>
    </w:lvl>
    <w:lvl w:ilvl="2" w:tplc="C3E259C8">
      <w:start w:val="1"/>
      <w:numFmt w:val="decimal"/>
      <w:lvlText w:val="%3."/>
      <w:lvlJc w:val="left"/>
      <w:pPr>
        <w:tabs>
          <w:tab w:val="num" w:pos="2160"/>
        </w:tabs>
        <w:ind w:left="2160" w:hanging="360"/>
      </w:pPr>
      <w:rPr>
        <w:rFonts w:cs="Times New Roman"/>
      </w:rPr>
    </w:lvl>
    <w:lvl w:ilvl="3" w:tplc="C388E698">
      <w:start w:val="1"/>
      <w:numFmt w:val="decimal"/>
      <w:lvlText w:val="%4."/>
      <w:lvlJc w:val="left"/>
      <w:pPr>
        <w:tabs>
          <w:tab w:val="num" w:pos="2880"/>
        </w:tabs>
        <w:ind w:left="2880" w:hanging="360"/>
      </w:pPr>
      <w:rPr>
        <w:rFonts w:cs="Times New Roman"/>
      </w:rPr>
    </w:lvl>
    <w:lvl w:ilvl="4" w:tplc="1A220D42">
      <w:start w:val="1"/>
      <w:numFmt w:val="decimal"/>
      <w:lvlText w:val="%5."/>
      <w:lvlJc w:val="left"/>
      <w:pPr>
        <w:tabs>
          <w:tab w:val="num" w:pos="3600"/>
        </w:tabs>
        <w:ind w:left="3600" w:hanging="360"/>
      </w:pPr>
      <w:rPr>
        <w:rFonts w:cs="Times New Roman"/>
      </w:rPr>
    </w:lvl>
    <w:lvl w:ilvl="5" w:tplc="08169CC2">
      <w:start w:val="1"/>
      <w:numFmt w:val="decimal"/>
      <w:lvlText w:val="%6."/>
      <w:lvlJc w:val="left"/>
      <w:pPr>
        <w:tabs>
          <w:tab w:val="num" w:pos="4320"/>
        </w:tabs>
        <w:ind w:left="4320" w:hanging="360"/>
      </w:pPr>
      <w:rPr>
        <w:rFonts w:cs="Times New Roman"/>
      </w:rPr>
    </w:lvl>
    <w:lvl w:ilvl="6" w:tplc="2BCEDD6C">
      <w:start w:val="1"/>
      <w:numFmt w:val="decimal"/>
      <w:lvlText w:val="%7."/>
      <w:lvlJc w:val="left"/>
      <w:pPr>
        <w:tabs>
          <w:tab w:val="num" w:pos="5040"/>
        </w:tabs>
        <w:ind w:left="5040" w:hanging="360"/>
      </w:pPr>
      <w:rPr>
        <w:rFonts w:cs="Times New Roman"/>
      </w:rPr>
    </w:lvl>
    <w:lvl w:ilvl="7" w:tplc="20EC808C">
      <w:start w:val="1"/>
      <w:numFmt w:val="decimal"/>
      <w:lvlText w:val="%8."/>
      <w:lvlJc w:val="left"/>
      <w:pPr>
        <w:tabs>
          <w:tab w:val="num" w:pos="5760"/>
        </w:tabs>
        <w:ind w:left="5760" w:hanging="360"/>
      </w:pPr>
      <w:rPr>
        <w:rFonts w:cs="Times New Roman"/>
      </w:rPr>
    </w:lvl>
    <w:lvl w:ilvl="8" w:tplc="17B83760">
      <w:start w:val="1"/>
      <w:numFmt w:val="decimal"/>
      <w:lvlText w:val="%9."/>
      <w:lvlJc w:val="left"/>
      <w:pPr>
        <w:tabs>
          <w:tab w:val="num" w:pos="6480"/>
        </w:tabs>
        <w:ind w:left="6480" w:hanging="360"/>
      </w:pPr>
      <w:rPr>
        <w:rFonts w:cs="Times New Roman"/>
      </w:rPr>
    </w:lvl>
  </w:abstractNum>
  <w:abstractNum w:abstractNumId="25" w15:restartNumberingAfterBreak="0">
    <w:nsid w:val="762C571D"/>
    <w:multiLevelType w:val="hybridMultilevel"/>
    <w:tmpl w:val="7AA8E5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66A0300"/>
    <w:multiLevelType w:val="hybridMultilevel"/>
    <w:tmpl w:val="80F473F4"/>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7112519"/>
    <w:multiLevelType w:val="multilevel"/>
    <w:tmpl w:val="96D29B6C"/>
    <w:lvl w:ilvl="0">
      <w:numFmt w:val="bullet"/>
      <w:lvlText w:val=""/>
      <w:lvlJc w:val="left"/>
      <w:pPr>
        <w:ind w:left="360" w:hanging="360"/>
      </w:pPr>
      <w:rPr>
        <w:rFonts w:ascii="Symbol" w:eastAsia="Times New Roman" w:hAnsi="Symbol"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8" w15:restartNumberingAfterBreak="0">
    <w:nsid w:val="792C6A08"/>
    <w:multiLevelType w:val="hybridMultilevel"/>
    <w:tmpl w:val="C3DA1EA0"/>
    <w:lvl w:ilvl="0" w:tplc="852C67FC">
      <w:start w:val="1"/>
      <w:numFmt w:val="lowerLetter"/>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num w:numId="1">
    <w:abstractNumId w:val="7"/>
  </w:num>
  <w:num w:numId="2">
    <w:abstractNumId w:val="1"/>
  </w:num>
  <w:num w:numId="3">
    <w:abstractNumId w:val="27"/>
  </w:num>
  <w:num w:numId="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2"/>
  </w:num>
  <w:num w:numId="9">
    <w:abstractNumId w:val="0"/>
  </w:num>
  <w:num w:numId="10">
    <w:abstractNumId w:val="14"/>
  </w:num>
  <w:num w:numId="11">
    <w:abstractNumId w:val="20"/>
  </w:num>
  <w:num w:numId="12">
    <w:abstractNumId w:val="6"/>
  </w:num>
  <w:num w:numId="13">
    <w:abstractNumId w:val="19"/>
  </w:num>
  <w:num w:numId="14">
    <w:abstractNumId w:val="5"/>
  </w:num>
  <w:num w:numId="15">
    <w:abstractNumId w:val="8"/>
  </w:num>
  <w:num w:numId="16">
    <w:abstractNumId w:val="26"/>
  </w:num>
  <w:num w:numId="17">
    <w:abstractNumId w:val="2"/>
  </w:num>
  <w:num w:numId="18">
    <w:abstractNumId w:val="21"/>
  </w:num>
  <w:num w:numId="19">
    <w:abstractNumId w:val="3"/>
  </w:num>
  <w:num w:numId="20">
    <w:abstractNumId w:val="11"/>
  </w:num>
  <w:num w:numId="21">
    <w:abstractNumId w:val="10"/>
  </w:num>
  <w:num w:numId="22">
    <w:abstractNumId w:val="1"/>
  </w:num>
  <w:num w:numId="23">
    <w:abstractNumId w:val="9"/>
  </w:num>
  <w:num w:numId="24">
    <w:abstractNumId w:val="13"/>
  </w:num>
  <w:num w:numId="25">
    <w:abstractNumId w:val="4"/>
  </w:num>
  <w:num w:numId="26">
    <w:abstractNumId w:val="15"/>
  </w:num>
  <w:num w:numId="27">
    <w:abstractNumId w:val="16"/>
  </w:num>
  <w:num w:numId="28">
    <w:abstractNumId w:val="12"/>
  </w:num>
  <w:num w:numId="29">
    <w:abstractNumId w:val="18"/>
  </w:num>
  <w:num w:numId="30">
    <w:abstractNumId w:val="25"/>
  </w:num>
  <w:num w:numId="31">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12A6817A-579A-48A5-A816-71610777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sz w:val="24"/>
      <w:szCs w:val="24"/>
    </w:rPr>
  </w:style>
  <w:style w:type="paragraph" w:styleId="Titolo1">
    <w:name w:val="heading 1"/>
    <w:basedOn w:val="Normale"/>
    <w:next w:val="Normale"/>
    <w:link w:val="Titolo1Carattere"/>
    <w:uiPriority w:val="99"/>
    <w:qFormat/>
    <w:pPr>
      <w:widowControl w:val="0"/>
      <w:pBdr>
        <w:top w:val="single" w:sz="6" w:space="1" w:color="auto" w:shadow="1"/>
        <w:left w:val="single" w:sz="6" w:space="4" w:color="auto" w:shadow="1"/>
        <w:bottom w:val="single" w:sz="6" w:space="1" w:color="auto" w:shadow="1"/>
        <w:right w:val="single" w:sz="6" w:space="4" w:color="auto" w:shadow="1"/>
      </w:pBdr>
      <w:shd w:val="clear" w:color="auto" w:fill="FFFFFF"/>
      <w:overflowPunct w:val="0"/>
      <w:autoSpaceDE w:val="0"/>
      <w:autoSpaceDN w:val="0"/>
      <w:adjustRightInd w:val="0"/>
      <w:spacing w:after="360"/>
      <w:jc w:val="center"/>
      <w:outlineLvl w:val="0"/>
    </w:pPr>
    <w:rPr>
      <w:rFonts w:ascii="Arial" w:hAnsi="Arial" w:cs="Arial"/>
      <w:b/>
      <w:i/>
      <w:szCs w:val="20"/>
    </w:rPr>
  </w:style>
  <w:style w:type="paragraph" w:styleId="Titolo2">
    <w:name w:val="heading 2"/>
    <w:basedOn w:val="Corpodeltesto2"/>
    <w:next w:val="Normale"/>
    <w:link w:val="Titolo2Carattere"/>
    <w:uiPriority w:val="99"/>
    <w:qFormat/>
    <w:pPr>
      <w:jc w:val="both"/>
      <w:outlineLvl w:val="1"/>
    </w:pPr>
    <w:rPr>
      <w:b/>
      <w:sz w:val="24"/>
      <w:u w:val="single"/>
    </w:rPr>
  </w:style>
  <w:style w:type="paragraph" w:styleId="Titolo3">
    <w:name w:val="heading 3"/>
    <w:basedOn w:val="Titolo2"/>
    <w:next w:val="Normale"/>
    <w:link w:val="Titolo3Carattere"/>
    <w:uiPriority w:val="99"/>
    <w:qFormat/>
    <w:pPr>
      <w:outlineLvl w:val="2"/>
    </w:pPr>
    <w:rPr>
      <w:sz w:val="22"/>
    </w:rPr>
  </w:style>
  <w:style w:type="paragraph" w:styleId="Titolo4">
    <w:name w:val="heading 4"/>
    <w:basedOn w:val="Normale"/>
    <w:next w:val="Normale"/>
    <w:link w:val="Titolo4Carattere"/>
    <w:uiPriority w:val="99"/>
    <w:qFormat/>
    <w:pPr>
      <w:keepNext/>
      <w:spacing w:after="240"/>
      <w:jc w:val="center"/>
      <w:outlineLvl w:val="3"/>
    </w:pPr>
    <w:rPr>
      <w:rFonts w:ascii="Arial" w:hAnsi="Arial" w:cs="Arial"/>
      <w:b/>
      <w:i/>
      <w:sz w:val="36"/>
    </w:rPr>
  </w:style>
  <w:style w:type="paragraph" w:styleId="Titolo6">
    <w:name w:val="heading 6"/>
    <w:basedOn w:val="Normale"/>
    <w:next w:val="Normale"/>
    <w:link w:val="Titolo6Carattere"/>
    <w:uiPriority w:val="99"/>
    <w:qFormat/>
    <w:pPr>
      <w:keepNext/>
      <w:numPr>
        <w:ilvl w:val="12"/>
      </w:numPr>
      <w:jc w:val="both"/>
      <w:outlineLvl w:val="5"/>
    </w:pPr>
    <w:rPr>
      <w:rFonts w:ascii="Arial" w:hAnsi="Arial" w:cs="Arial"/>
      <w:b/>
      <w:u w:val="single"/>
    </w:rPr>
  </w:style>
  <w:style w:type="paragraph" w:styleId="Titolo8">
    <w:name w:val="heading 8"/>
    <w:basedOn w:val="Normale"/>
    <w:next w:val="Normale"/>
    <w:link w:val="Titolo8Carattere"/>
    <w:uiPriority w:val="99"/>
    <w:qFormat/>
    <w:pPr>
      <w:keepNext/>
      <w:widowControl w:val="0"/>
      <w:overflowPunct w:val="0"/>
      <w:autoSpaceDE w:val="0"/>
      <w:autoSpaceDN w:val="0"/>
      <w:adjustRightInd w:val="0"/>
      <w:spacing w:after="120"/>
      <w:jc w:val="both"/>
      <w:outlineLvl w:val="7"/>
    </w:pPr>
    <w:rPr>
      <w:rFonts w:ascii="Arial" w:hAnsi="Arial"/>
      <w:b/>
      <w:szCs w:val="20"/>
    </w:rPr>
  </w:style>
  <w:style w:type="paragraph" w:styleId="Titolo9">
    <w:name w:val="heading 9"/>
    <w:basedOn w:val="Normale"/>
    <w:next w:val="Normale"/>
    <w:link w:val="Titolo9Carattere"/>
    <w:uiPriority w:val="99"/>
    <w:qFormat/>
    <w:pPr>
      <w:keepNext/>
      <w:numPr>
        <w:ilvl w:val="12"/>
      </w:numPr>
      <w:outlineLvl w:val="8"/>
    </w:pPr>
    <w:rPr>
      <w:rFonts w:ascii="Arial" w:hAnsi="Arial" w:cs="Arial"/>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Pr>
      <w:rFonts w:ascii="Calibri" w:hAnsi="Calibri" w:cs="Times New Roman"/>
      <w:b/>
      <w:bCs/>
      <w:sz w:val="28"/>
      <w:szCs w:val="28"/>
    </w:rPr>
  </w:style>
  <w:style w:type="character" w:customStyle="1" w:styleId="Titolo6Carattere">
    <w:name w:val="Titolo 6 Carattere"/>
    <w:basedOn w:val="Carpredefinitoparagrafo"/>
    <w:link w:val="Titolo6"/>
    <w:uiPriority w:val="99"/>
    <w:semiHidden/>
    <w:locked/>
    <w:rPr>
      <w:rFonts w:ascii="Calibri" w:hAnsi="Calibri" w:cs="Times New Roman"/>
      <w:b/>
      <w:bCs/>
    </w:rPr>
  </w:style>
  <w:style w:type="character" w:customStyle="1" w:styleId="Titolo8Carattere">
    <w:name w:val="Titolo 8 Carattere"/>
    <w:basedOn w:val="Carpredefinitoparagrafo"/>
    <w:link w:val="Titolo8"/>
    <w:uiPriority w:val="99"/>
    <w:semiHidden/>
    <w:locked/>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Pr>
      <w:rFonts w:ascii="Cambria" w:hAnsi="Cambria" w:cs="Times New Roman"/>
    </w:rPr>
  </w:style>
  <w:style w:type="paragraph" w:styleId="Testonotaapidipagina">
    <w:name w:val="footnote text"/>
    <w:aliases w:val="Testo nota a piè di pagina Carattere,Testo nota a piè di pagina Carattere1 Carattere,Testo nota a piè di pagina Carattere Carattere Carattere,Testo nota a piè di pagina Carattere1 Carattere Carattere Carattere,Carattere"/>
    <w:basedOn w:val="Normale"/>
    <w:link w:val="TestonotaapidipaginaCarattere1"/>
    <w:uiPriority w:val="99"/>
    <w:pPr>
      <w:widowControl w:val="0"/>
      <w:tabs>
        <w:tab w:val="left" w:pos="567"/>
      </w:tabs>
      <w:overflowPunct w:val="0"/>
      <w:autoSpaceDE w:val="0"/>
      <w:autoSpaceDN w:val="0"/>
      <w:adjustRightInd w:val="0"/>
      <w:spacing w:after="120"/>
      <w:ind w:left="567" w:hanging="567"/>
      <w:jc w:val="both"/>
    </w:pPr>
    <w:rPr>
      <w:rFonts w:ascii="Arial" w:hAnsi="Arial"/>
      <w:sz w:val="20"/>
      <w:szCs w:val="20"/>
    </w:rPr>
  </w:style>
  <w:style w:type="character" w:customStyle="1" w:styleId="TestonotaapidipaginaCarattere1">
    <w:name w:val="Testo nota a piè di pagina Carattere1"/>
    <w:aliases w:val="Testo nota a piè di pagina Carattere Carattere,Testo nota a piè di pagina Carattere1 Carattere Carattere,Testo nota a piè di pagina Carattere Carattere Carattere Carattere,Carattere Carattere1"/>
    <w:basedOn w:val="Carpredefinitoparagrafo"/>
    <w:link w:val="Testonotaapidipagina"/>
    <w:uiPriority w:val="99"/>
    <w:locked/>
    <w:rPr>
      <w:rFonts w:ascii="Arial" w:hAnsi="Arial" w:cs="Times New Roman"/>
      <w:lang w:val="it-IT" w:eastAsia="it-IT"/>
    </w:rPr>
  </w:style>
  <w:style w:type="paragraph" w:styleId="Intestazione">
    <w:name w:val="header"/>
    <w:basedOn w:val="Normale"/>
    <w:link w:val="IntestazioneCarattere"/>
    <w:uiPriority w:val="99"/>
    <w:pPr>
      <w:widowControl w:val="0"/>
      <w:tabs>
        <w:tab w:val="center" w:pos="4819"/>
        <w:tab w:val="right" w:pos="9638"/>
      </w:tabs>
      <w:overflowPunct w:val="0"/>
      <w:autoSpaceDE w:val="0"/>
      <w:autoSpaceDN w:val="0"/>
      <w:adjustRightInd w:val="0"/>
      <w:spacing w:after="120"/>
      <w:jc w:val="both"/>
    </w:pPr>
    <w:rPr>
      <w:rFonts w:ascii="Arial" w:hAnsi="Arial"/>
      <w:szCs w:val="20"/>
    </w:rPr>
  </w:style>
  <w:style w:type="character" w:customStyle="1" w:styleId="IntestazioneCarattere">
    <w:name w:val="Intestazione Carattere"/>
    <w:basedOn w:val="Carpredefinitoparagrafo"/>
    <w:link w:val="Intestazione"/>
    <w:uiPriority w:val="99"/>
    <w:semiHidden/>
    <w:locked/>
    <w:rPr>
      <w:rFonts w:cs="Times New Roman"/>
      <w:sz w:val="24"/>
      <w:szCs w:val="24"/>
    </w:rPr>
  </w:style>
  <w:style w:type="paragraph" w:styleId="Pidipagina">
    <w:name w:val="footer"/>
    <w:basedOn w:val="Normale"/>
    <w:link w:val="PidipaginaCarattere"/>
    <w:uiPriority w:val="99"/>
    <w:pPr>
      <w:widowControl w:val="0"/>
      <w:pBdr>
        <w:top w:val="single" w:sz="6" w:space="1" w:color="auto"/>
      </w:pBdr>
      <w:overflowPunct w:val="0"/>
      <w:autoSpaceDE w:val="0"/>
      <w:autoSpaceDN w:val="0"/>
      <w:adjustRightInd w:val="0"/>
      <w:spacing w:after="120"/>
      <w:jc w:val="center"/>
    </w:pPr>
    <w:rPr>
      <w:rFonts w:ascii="Arial" w:hAnsi="Arial"/>
      <w:sz w:val="18"/>
      <w:szCs w:val="20"/>
    </w:rPr>
  </w:style>
  <w:style w:type="character" w:customStyle="1" w:styleId="PidipaginaCarattere">
    <w:name w:val="Piè di pagina Carattere"/>
    <w:basedOn w:val="Carpredefinitoparagrafo"/>
    <w:link w:val="Pidipagina"/>
    <w:uiPriority w:val="99"/>
    <w:semiHidden/>
    <w:locked/>
    <w:rPr>
      <w:rFonts w:cs="Times New Roman"/>
      <w:sz w:val="24"/>
      <w:szCs w:val="24"/>
    </w:rPr>
  </w:style>
  <w:style w:type="paragraph" w:styleId="Titolo">
    <w:name w:val="Title"/>
    <w:basedOn w:val="Normale"/>
    <w:link w:val="TitoloCarattere"/>
    <w:uiPriority w:val="99"/>
    <w:qFormat/>
    <w:pPr>
      <w:spacing w:after="360"/>
      <w:jc w:val="center"/>
    </w:pPr>
    <w:rPr>
      <w:rFonts w:ascii="Arial" w:hAnsi="Arial" w:cs="Arial"/>
      <w:b/>
      <w:i/>
      <w:sz w:val="36"/>
    </w:rPr>
  </w:style>
  <w:style w:type="character" w:customStyle="1" w:styleId="TitoloCarattere">
    <w:name w:val="Titolo Carattere"/>
    <w:basedOn w:val="Carpredefinitoparagrafo"/>
    <w:link w:val="Titolo"/>
    <w:uiPriority w:val="99"/>
    <w:locked/>
    <w:rPr>
      <w:rFonts w:ascii="Cambria" w:hAnsi="Cambria" w:cs="Times New Roman"/>
      <w:b/>
      <w:bCs/>
      <w:kern w:val="28"/>
      <w:sz w:val="32"/>
      <w:szCs w:val="32"/>
    </w:rPr>
  </w:style>
  <w:style w:type="paragraph" w:styleId="Corpotesto">
    <w:name w:val="Body Text"/>
    <w:basedOn w:val="Normale"/>
    <w:link w:val="CorpotestoCarattere"/>
    <w:uiPriority w:val="99"/>
    <w:pPr>
      <w:widowControl w:val="0"/>
      <w:overflowPunct w:val="0"/>
      <w:autoSpaceDE w:val="0"/>
      <w:autoSpaceDN w:val="0"/>
      <w:adjustRightInd w:val="0"/>
      <w:spacing w:after="120"/>
      <w:jc w:val="both"/>
    </w:pPr>
    <w:rPr>
      <w:rFonts w:ascii="Arial" w:hAnsi="Arial"/>
      <w:kern w:val="28"/>
      <w:szCs w:val="20"/>
    </w:rPr>
  </w:style>
  <w:style w:type="character" w:customStyle="1" w:styleId="CorpotestoCarattere">
    <w:name w:val="Corpo testo Carattere"/>
    <w:basedOn w:val="Carpredefinitoparagrafo"/>
    <w:link w:val="Corpotesto"/>
    <w:uiPriority w:val="99"/>
    <w:semiHidden/>
    <w:locked/>
    <w:rPr>
      <w:rFonts w:cs="Times New Roman"/>
      <w:sz w:val="24"/>
      <w:szCs w:val="24"/>
    </w:rPr>
  </w:style>
  <w:style w:type="paragraph" w:styleId="Rientrocorpodeltesto">
    <w:name w:val="Body Text Indent"/>
    <w:basedOn w:val="Normale"/>
    <w:link w:val="RientrocorpodeltestoCarattere"/>
    <w:uiPriority w:val="99"/>
    <w:pPr>
      <w:snapToGrid w:val="0"/>
      <w:spacing w:before="110" w:line="360" w:lineRule="auto"/>
      <w:ind w:firstLine="426"/>
      <w:jc w:val="both"/>
    </w:pPr>
    <w:rPr>
      <w:szCs w:val="20"/>
    </w:rPr>
  </w:style>
  <w:style w:type="character" w:customStyle="1" w:styleId="RientrocorpodeltestoCarattere">
    <w:name w:val="Rientro corpo del testo Carattere"/>
    <w:basedOn w:val="Carpredefinitoparagrafo"/>
    <w:link w:val="Rientrocorpodeltesto"/>
    <w:uiPriority w:val="99"/>
    <w:semiHidden/>
    <w:locked/>
    <w:rPr>
      <w:rFonts w:cs="Times New Roman"/>
      <w:sz w:val="24"/>
      <w:szCs w:val="24"/>
    </w:rPr>
  </w:style>
  <w:style w:type="paragraph" w:styleId="Corpodeltesto2">
    <w:name w:val="Body Text 2"/>
    <w:basedOn w:val="Normale"/>
    <w:link w:val="Corpodeltesto2Carattere"/>
    <w:uiPriority w:val="99"/>
    <w:pPr>
      <w:tabs>
        <w:tab w:val="left" w:pos="426"/>
      </w:tabs>
    </w:pPr>
    <w:rPr>
      <w:rFonts w:ascii="Arial" w:hAnsi="Arial" w:cs="Arial"/>
      <w:sz w:val="22"/>
    </w:rPr>
  </w:style>
  <w:style w:type="character" w:customStyle="1" w:styleId="Corpodeltesto2Carattere">
    <w:name w:val="Corpo del testo 2 Carattere"/>
    <w:basedOn w:val="Carpredefinitoparagrafo"/>
    <w:link w:val="Corpodeltesto2"/>
    <w:uiPriority w:val="99"/>
    <w:semiHidden/>
    <w:locked/>
    <w:rPr>
      <w:rFonts w:cs="Times New Roman"/>
      <w:sz w:val="24"/>
      <w:szCs w:val="24"/>
    </w:rPr>
  </w:style>
  <w:style w:type="paragraph" w:styleId="Corpodeltesto3">
    <w:name w:val="Body Text 3"/>
    <w:basedOn w:val="Normale"/>
    <w:link w:val="Corpodeltesto3Carattere"/>
    <w:uiPriority w:val="99"/>
    <w:pPr>
      <w:widowControl w:val="0"/>
      <w:overflowPunct w:val="0"/>
      <w:autoSpaceDE w:val="0"/>
      <w:autoSpaceDN w:val="0"/>
      <w:adjustRightInd w:val="0"/>
      <w:spacing w:after="120"/>
      <w:jc w:val="both"/>
    </w:pPr>
    <w:rPr>
      <w:rFonts w:ascii="Arial" w:hAnsi="Arial"/>
      <w:sz w:val="18"/>
      <w:szCs w:val="18"/>
    </w:rPr>
  </w:style>
  <w:style w:type="character" w:customStyle="1" w:styleId="Corpodeltesto3Carattere">
    <w:name w:val="Corpo del testo 3 Carattere"/>
    <w:basedOn w:val="Carpredefinitoparagrafo"/>
    <w:link w:val="Corpodeltesto3"/>
    <w:uiPriority w:val="99"/>
    <w:semiHidden/>
    <w:locked/>
    <w:rPr>
      <w:rFonts w:cs="Times New Roman"/>
      <w:sz w:val="16"/>
      <w:szCs w:val="16"/>
    </w:rPr>
  </w:style>
  <w:style w:type="paragraph" w:styleId="Rientrocorpodeltesto2">
    <w:name w:val="Body Text Indent 2"/>
    <w:basedOn w:val="Normale"/>
    <w:link w:val="Rientrocorpodeltesto2Carattere"/>
    <w:uiPriority w:val="99"/>
    <w:pPr>
      <w:spacing w:line="360" w:lineRule="auto"/>
      <w:ind w:left="360"/>
    </w:pPr>
    <w:rPr>
      <w:rFonts w:ascii="Arial" w:hAnsi="Arial" w:cs="Arial"/>
      <w:sz w:val="22"/>
      <w:szCs w:val="18"/>
    </w:rPr>
  </w:style>
  <w:style w:type="character" w:customStyle="1" w:styleId="Rientrocorpodeltesto2Carattere">
    <w:name w:val="Rientro corpo del testo 2 Carattere"/>
    <w:basedOn w:val="Carpredefinitoparagrafo"/>
    <w:link w:val="Rientrocorpodeltesto2"/>
    <w:uiPriority w:val="99"/>
    <w:semiHidden/>
    <w:locked/>
    <w:rPr>
      <w:rFonts w:cs="Times New Roman"/>
      <w:sz w:val="24"/>
      <w:szCs w:val="24"/>
    </w:rPr>
  </w:style>
  <w:style w:type="paragraph" w:customStyle="1" w:styleId="CPVC">
    <w:name w:val="CPV_C"/>
    <w:uiPriority w:val="99"/>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sz w:val="20"/>
      <w:szCs w:val="20"/>
    </w:rPr>
  </w:style>
  <w:style w:type="paragraph" w:customStyle="1" w:styleId="CPVCcvo">
    <w:name w:val="CPV_Ccvo"/>
    <w:uiPriority w:val="99"/>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sz w:val="20"/>
      <w:szCs w:val="20"/>
    </w:rPr>
  </w:style>
  <w:style w:type="paragraph" w:customStyle="1" w:styleId="LIV2">
    <w:name w:val="LIV2"/>
    <w:uiPriority w:val="99"/>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sz w:val="20"/>
      <w:szCs w:val="20"/>
    </w:rPr>
  </w:style>
  <w:style w:type="paragraph" w:customStyle="1" w:styleId="liv1unita">
    <w:name w:val="liv1_unita"/>
    <w:uiPriority w:val="99"/>
    <w:pPr>
      <w:widowControl w:val="0"/>
      <w:tabs>
        <w:tab w:val="left" w:pos="469"/>
        <w:tab w:val="left" w:pos="1887"/>
        <w:tab w:val="left" w:pos="3304"/>
        <w:tab w:val="left" w:pos="4721"/>
      </w:tabs>
      <w:autoSpaceDE w:val="0"/>
      <w:autoSpaceDN w:val="0"/>
      <w:adjustRightInd w:val="0"/>
      <w:spacing w:before="489" w:after="85" w:line="12" w:lineRule="atLeast"/>
      <w:ind w:left="469" w:hanging="469"/>
      <w:jc w:val="both"/>
    </w:pPr>
    <w:rPr>
      <w:rFonts w:ascii="UniversExBlkExt" w:hAnsi="UniversExBlkExt" w:cs="UniversExBlkExt"/>
      <w:b/>
      <w:bCs/>
      <w:sz w:val="16"/>
      <w:szCs w:val="16"/>
    </w:rPr>
  </w:style>
  <w:style w:type="paragraph" w:customStyle="1" w:styleId="sottocpv1">
    <w:name w:val="sottocpv1"/>
    <w:uiPriority w:val="99"/>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sz w:val="20"/>
      <w:szCs w:val="20"/>
    </w:rPr>
  </w:style>
  <w:style w:type="paragraph" w:customStyle="1" w:styleId="Corpodeltesto21">
    <w:name w:val="Corpo del testo 21"/>
    <w:basedOn w:val="Normale"/>
    <w:uiPriority w:val="99"/>
    <w:pPr>
      <w:widowControl w:val="0"/>
      <w:overflowPunct w:val="0"/>
      <w:autoSpaceDE w:val="0"/>
      <w:autoSpaceDN w:val="0"/>
      <w:adjustRightInd w:val="0"/>
      <w:spacing w:after="120"/>
      <w:jc w:val="both"/>
    </w:pPr>
    <w:rPr>
      <w:rFonts w:ascii="Arial" w:hAnsi="Arial"/>
      <w:b/>
      <w:i/>
      <w:szCs w:val="20"/>
    </w:rPr>
  </w:style>
  <w:style w:type="paragraph" w:customStyle="1" w:styleId="tabella">
    <w:name w:val="tabella"/>
    <w:basedOn w:val="Titolo3"/>
    <w:uiPriority w:val="99"/>
    <w:pPr>
      <w:keepNext/>
    </w:pPr>
    <w:rPr>
      <w:b w:val="0"/>
      <w:i/>
      <w:sz w:val="18"/>
      <w:szCs w:val="18"/>
    </w:rPr>
  </w:style>
  <w:style w:type="paragraph" w:customStyle="1" w:styleId="tit2-circ">
    <w:name w:val="tit2-circ"/>
    <w:basedOn w:val="Normale"/>
    <w:uiPriority w:val="99"/>
    <w:pPr>
      <w:keepNext/>
      <w:spacing w:before="360" w:after="100"/>
      <w:ind w:right="108"/>
      <w:jc w:val="both"/>
    </w:pPr>
    <w:rPr>
      <w:rFonts w:ascii="Futura" w:hAnsi="Futura"/>
      <w:b/>
      <w:caps/>
      <w:sz w:val="20"/>
      <w:szCs w:val="20"/>
    </w:rPr>
  </w:style>
  <w:style w:type="character" w:styleId="Rimandonotaapidipagina">
    <w:name w:val="footnote reference"/>
    <w:basedOn w:val="Carpredefinitoparagrafo"/>
    <w:uiPriority w:val="99"/>
    <w:rPr>
      <w:rFonts w:cs="Times New Roman"/>
      <w:vertAlign w:val="superscript"/>
    </w:rPr>
  </w:style>
  <w:style w:type="paragraph" w:styleId="Mappadocumento">
    <w:name w:val="Document Map"/>
    <w:basedOn w:val="Normale"/>
    <w:link w:val="MappadocumentoCarattere"/>
    <w:uiPriority w:val="99"/>
    <w:semiHidden/>
    <w:pPr>
      <w:shd w:val="clear" w:color="auto" w:fill="000080"/>
    </w:pPr>
    <w:rPr>
      <w:rFonts w:ascii="Tahoma" w:hAnsi="Tahoma" w:cs="Tahoma"/>
      <w:sz w:val="20"/>
      <w:szCs w:val="20"/>
    </w:rPr>
  </w:style>
  <w:style w:type="character" w:customStyle="1" w:styleId="MappadocumentoCarattere">
    <w:name w:val="Mappa documento Carattere"/>
    <w:basedOn w:val="Carpredefinitoparagrafo"/>
    <w:link w:val="Mappadocumento"/>
    <w:uiPriority w:val="99"/>
    <w:semiHidden/>
    <w:locked/>
    <w:rPr>
      <w:rFonts w:cs="Times New Roman"/>
      <w:sz w:val="2"/>
    </w:rPr>
  </w:style>
  <w:style w:type="paragraph" w:styleId="Testofumetto">
    <w:name w:val="Balloon Text"/>
    <w:basedOn w:val="Normale"/>
    <w:link w:val="TestofumettoCarattere"/>
    <w:uiPriority w:val="99"/>
    <w:semiHidden/>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Pr>
      <w:rFonts w:cs="Times New Roman"/>
      <w:sz w:val="2"/>
    </w:rPr>
  </w:style>
  <w:style w:type="character" w:customStyle="1" w:styleId="CarattereCarattere">
    <w:name w:val="Carattere Carattere"/>
    <w:uiPriority w:val="99"/>
    <w:rPr>
      <w:rFonts w:ascii="Arial" w:hAnsi="Arial"/>
      <w:kern w:val="28"/>
      <w:sz w:val="24"/>
    </w:rPr>
  </w:style>
  <w:style w:type="character" w:styleId="Numeropagina">
    <w:name w:val="page number"/>
    <w:basedOn w:val="Carpredefinitoparagrafo"/>
    <w:uiPriority w:val="99"/>
    <w:rPr>
      <w:rFonts w:cs="Times New Roman"/>
    </w:rPr>
  </w:style>
  <w:style w:type="character" w:styleId="Rimandocommento">
    <w:name w:val="annotation reference"/>
    <w:basedOn w:val="Carpredefinitoparagrafo"/>
    <w:uiPriority w:val="99"/>
    <w:semiHidden/>
    <w:rPr>
      <w:rFonts w:cs="Times New Roman"/>
      <w:sz w:val="16"/>
    </w:rPr>
  </w:style>
  <w:style w:type="paragraph" w:styleId="Testocommento">
    <w:name w:val="annotation text"/>
    <w:basedOn w:val="Normale"/>
    <w:link w:val="TestocommentoCarattere"/>
    <w:uiPriority w:val="99"/>
    <w:semiHidden/>
    <w:rPr>
      <w:sz w:val="20"/>
      <w:szCs w:val="20"/>
    </w:rPr>
  </w:style>
  <w:style w:type="character" w:customStyle="1" w:styleId="TestocommentoCarattere">
    <w:name w:val="Testo commento Carattere"/>
    <w:basedOn w:val="Carpredefinitoparagrafo"/>
    <w:link w:val="Testocommento"/>
    <w:uiPriority w:val="99"/>
    <w:semiHidden/>
    <w:locked/>
    <w:rPr>
      <w:rFonts w:cs="Times New Roman"/>
      <w:sz w:val="20"/>
      <w:szCs w:val="20"/>
    </w:rPr>
  </w:style>
  <w:style w:type="paragraph" w:styleId="Soggettocommento">
    <w:name w:val="annotation subject"/>
    <w:basedOn w:val="Testocommento"/>
    <w:next w:val="Testocommento"/>
    <w:link w:val="SoggettocommentoCarattere"/>
    <w:uiPriority w:val="99"/>
    <w:semiHidden/>
    <w:rPr>
      <w:b/>
      <w:bCs/>
    </w:rPr>
  </w:style>
  <w:style w:type="character" w:customStyle="1" w:styleId="SoggettocommentoCarattere">
    <w:name w:val="Soggetto commento Carattere"/>
    <w:basedOn w:val="TestocommentoCarattere"/>
    <w:link w:val="Soggettocommento"/>
    <w:uiPriority w:val="99"/>
    <w:semiHidden/>
    <w:locked/>
    <w:rPr>
      <w:rFonts w:cs="Times New Roman"/>
      <w:b/>
      <w:bCs/>
      <w:sz w:val="20"/>
      <w:szCs w:val="20"/>
    </w:rPr>
  </w:style>
  <w:style w:type="paragraph" w:customStyle="1" w:styleId="Paragrafoelenco1">
    <w:name w:val="Paragrafo elenco1"/>
    <w:basedOn w:val="Normale"/>
    <w:uiPriority w:val="99"/>
    <w:pPr>
      <w:spacing w:after="200" w:line="276" w:lineRule="auto"/>
      <w:ind w:left="720"/>
      <w:contextualSpacing/>
    </w:pPr>
    <w:rPr>
      <w:rFonts w:ascii="Calibri" w:hAnsi="Calibri"/>
      <w:sz w:val="22"/>
      <w:szCs w:val="22"/>
      <w:lang w:eastAsia="en-US"/>
    </w:rPr>
  </w:style>
  <w:style w:type="paragraph" w:styleId="NormaleWeb">
    <w:name w:val="Normal (Web)"/>
    <w:basedOn w:val="Normale"/>
    <w:uiPriority w:val="99"/>
    <w:pPr>
      <w:spacing w:before="100" w:beforeAutospacing="1" w:after="100" w:afterAutospacing="1"/>
    </w:pPr>
  </w:style>
  <w:style w:type="character" w:styleId="Enfasicorsivo">
    <w:name w:val="Emphasis"/>
    <w:basedOn w:val="Carpredefinitoparagrafo"/>
    <w:uiPriority w:val="99"/>
    <w:qFormat/>
    <w:rPr>
      <w:rFonts w:cs="Times New Roman"/>
      <w:i/>
    </w:rPr>
  </w:style>
  <w:style w:type="character" w:styleId="Collegamentoipertestuale">
    <w:name w:val="Hyperlink"/>
    <w:basedOn w:val="Carpredefinitoparagrafo"/>
    <w:uiPriority w:val="99"/>
    <w:rPr>
      <w:rFonts w:cs="Times New Roman"/>
      <w:color w:val="0000FF"/>
      <w:u w:val="single"/>
    </w:rPr>
  </w:style>
  <w:style w:type="character" w:styleId="Collegamentovisitato">
    <w:name w:val="FollowedHyperlink"/>
    <w:basedOn w:val="Carpredefinitoparagrafo"/>
    <w:uiPriority w:val="99"/>
    <w:rPr>
      <w:rFonts w:cs="Times New Roman"/>
      <w:color w:val="800080"/>
      <w:u w:val="single"/>
    </w:rPr>
  </w:style>
  <w:style w:type="table" w:styleId="Grigliatabella">
    <w:name w:val="Table Grid"/>
    <w:basedOn w:val="Tabellanormale"/>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uiPriority w:val="99"/>
    <w:pPr>
      <w:widowControl w:val="0"/>
      <w:autoSpaceDE w:val="0"/>
      <w:autoSpaceDN w:val="0"/>
      <w:adjustRightInd w:val="0"/>
    </w:pPr>
    <w:rPr>
      <w:rFonts w:ascii="Thorndale AMT" w:hAnsi="Thorndale AMT" w:cs="Albany AMT"/>
    </w:rPr>
  </w:style>
  <w:style w:type="character" w:customStyle="1" w:styleId="linkneltesto">
    <w:name w:val="link_nel_testo"/>
    <w:uiPriority w:val="99"/>
    <w:rPr>
      <w:i/>
    </w:rPr>
  </w:style>
  <w:style w:type="paragraph" w:customStyle="1" w:styleId="provvr0">
    <w:name w:val="provv_r0"/>
    <w:basedOn w:val="Normale"/>
    <w:uiPriority w:val="99"/>
    <w:pPr>
      <w:spacing w:before="100" w:beforeAutospacing="1" w:after="100" w:afterAutospacing="1"/>
      <w:jc w:val="both"/>
    </w:pPr>
  </w:style>
  <w:style w:type="character" w:customStyle="1" w:styleId="provvnumcomma">
    <w:name w:val="provv_numcomma"/>
    <w:basedOn w:val="Carpredefinitoparagrafo"/>
    <w:uiPriority w:val="99"/>
    <w:rPr>
      <w:rFonts w:cs="Times New Roman"/>
    </w:rPr>
  </w:style>
  <w:style w:type="character" w:styleId="Enfasigrassetto">
    <w:name w:val="Strong"/>
    <w:basedOn w:val="Carpredefinitoparagrafo"/>
    <w:uiPriority w:val="99"/>
    <w:qFormat/>
    <w:rPr>
      <w:rFonts w:cs="Times New Roman"/>
      <w:b/>
    </w:rPr>
  </w:style>
  <w:style w:type="paragraph" w:customStyle="1" w:styleId="Default">
    <w:name w:val="Default"/>
    <w:uiPriority w:val="99"/>
    <w:pPr>
      <w:widowControl w:val="0"/>
      <w:suppressAutoHyphens/>
    </w:pPr>
    <w:rPr>
      <w:kern w:val="1"/>
      <w:lang w:eastAsia="ar-SA"/>
    </w:rPr>
  </w:style>
  <w:style w:type="paragraph" w:styleId="Sommario1">
    <w:name w:val="toc 1"/>
    <w:basedOn w:val="Normale"/>
    <w:next w:val="Normale"/>
    <w:autoRedefine/>
    <w:uiPriority w:val="99"/>
  </w:style>
  <w:style w:type="paragraph" w:styleId="Sommario2">
    <w:name w:val="toc 2"/>
    <w:basedOn w:val="Normale"/>
    <w:next w:val="Normale"/>
    <w:autoRedefine/>
    <w:uiPriority w:val="99"/>
    <w:pPr>
      <w:ind w:left="240"/>
    </w:pPr>
  </w:style>
  <w:style w:type="paragraph" w:styleId="Indice1">
    <w:name w:val="index 1"/>
    <w:basedOn w:val="Normale"/>
    <w:next w:val="Normale"/>
    <w:autoRedefine/>
    <w:uiPriority w:val="99"/>
    <w:pPr>
      <w:ind w:left="240" w:hanging="240"/>
    </w:pPr>
  </w:style>
  <w:style w:type="paragraph" w:styleId="Indice2">
    <w:name w:val="index 2"/>
    <w:basedOn w:val="Normale"/>
    <w:next w:val="Normale"/>
    <w:autoRedefine/>
    <w:uiPriority w:val="99"/>
    <w:pPr>
      <w:ind w:left="480" w:hanging="240"/>
    </w:pPr>
  </w:style>
  <w:style w:type="character" w:customStyle="1" w:styleId="apple-converted-space">
    <w:name w:val="apple-converted-space"/>
    <w:basedOn w:val="Carpredefinitoparagrafo"/>
    <w:uiPriority w:val="99"/>
    <w:rPr>
      <w:rFonts w:cs="Times New Roman"/>
    </w:rPr>
  </w:style>
  <w:style w:type="paragraph" w:styleId="PreformattatoHTML">
    <w:name w:val="HTML Preformatted"/>
    <w:basedOn w:val="Normale"/>
    <w:link w:val="PreformattatoHTMLCarattere"/>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locked/>
    <w:rPr>
      <w:rFonts w:ascii="Courier New" w:hAnsi="Courier New" w:cs="Courier New"/>
      <w:sz w:val="20"/>
      <w:szCs w:val="20"/>
    </w:rPr>
  </w:style>
  <w:style w:type="paragraph" w:styleId="Didascalia">
    <w:name w:val="caption"/>
    <w:basedOn w:val="Normale"/>
    <w:next w:val="Normale"/>
    <w:uiPriority w:val="99"/>
    <w:qFormat/>
    <w:rPr>
      <w:b/>
      <w:bCs/>
      <w:sz w:val="20"/>
      <w:szCs w:val="20"/>
    </w:rPr>
  </w:style>
  <w:style w:type="character" w:customStyle="1" w:styleId="navilast">
    <w:name w:val="navi_last"/>
    <w:basedOn w:val="Carpredefinitoparagrafo"/>
    <w:uiPriority w:val="99"/>
    <w:rPr>
      <w:rFonts w:cs="Times New Roman"/>
    </w:rPr>
  </w:style>
  <w:style w:type="character" w:customStyle="1" w:styleId="lilinkmenulista">
    <w:name w:val="lilinkmenulista"/>
    <w:uiPriority w:val="99"/>
  </w:style>
  <w:style w:type="paragraph" w:styleId="Revisione">
    <w:name w:val="Revision"/>
    <w:hidden/>
    <w:uiPriority w:val="99"/>
    <w:semiHidden/>
    <w:rPr>
      <w:sz w:val="24"/>
      <w:szCs w:val="24"/>
    </w:rPr>
  </w:style>
  <w:style w:type="paragraph" w:customStyle="1" w:styleId="Paragrafoelenco4">
    <w:name w:val="Paragrafo elenco4"/>
    <w:basedOn w:val="Normale"/>
    <w:uiPriority w:val="99"/>
    <w:pPr>
      <w:ind w:left="720"/>
      <w:contextualSpacing/>
      <w:jc w:val="both"/>
    </w:pPr>
  </w:style>
  <w:style w:type="paragraph" w:styleId="Paragrafoelenco">
    <w:name w:val="List Paragraph"/>
    <w:basedOn w:val="Normale"/>
    <w:uiPriority w:val="99"/>
    <w:qFormat/>
    <w:pPr>
      <w:ind w:left="720"/>
      <w:contextualSpacing/>
    </w:pPr>
  </w:style>
  <w:style w:type="paragraph" w:customStyle="1" w:styleId="BodyText21">
    <w:name w:val="Body Text 21"/>
    <w:basedOn w:val="Normale"/>
    <w:uiPriority w:val="99"/>
    <w:pPr>
      <w:widowControl w:val="0"/>
      <w:overflowPunct w:val="0"/>
      <w:autoSpaceDE w:val="0"/>
      <w:autoSpaceDN w:val="0"/>
      <w:adjustRightInd w:val="0"/>
      <w:spacing w:after="120"/>
      <w:jc w:val="both"/>
    </w:pPr>
    <w:rPr>
      <w:rFonts w:ascii="Arial" w:hAnsi="Arial"/>
      <w:b/>
      <w:i/>
      <w:szCs w:val="20"/>
    </w:rPr>
  </w:style>
  <w:style w:type="character" w:customStyle="1" w:styleId="provvrubrica">
    <w:name w:val="provv_rubrica"/>
    <w:basedOn w:val="Carpredefinitoparagrafo"/>
    <w:uiPriority w:val="99"/>
    <w:rPr>
      <w:rFonts w:cs="Times New Roman"/>
    </w:rPr>
  </w:style>
  <w:style w:type="paragraph" w:styleId="Sottotitolo">
    <w:name w:val="Subtitle"/>
    <w:basedOn w:val="Normale"/>
    <w:next w:val="Normale"/>
    <w:link w:val="SottotitoloCarattere"/>
    <w:uiPriority w:val="99"/>
    <w:qFormat/>
    <w:pPr>
      <w:spacing w:after="60"/>
      <w:jc w:val="center"/>
      <w:outlineLvl w:val="1"/>
    </w:pPr>
    <w:rPr>
      <w:rFonts w:ascii="Cambria" w:hAnsi="Cambria"/>
    </w:rPr>
  </w:style>
  <w:style w:type="character" w:customStyle="1" w:styleId="SottotitoloCarattere">
    <w:name w:val="Sottotitolo Carattere"/>
    <w:basedOn w:val="Carpredefinitoparagrafo"/>
    <w:link w:val="Sottotitolo"/>
    <w:uiPriority w:val="99"/>
    <w:locked/>
    <w:rPr>
      <w:rFonts w:ascii="Cambria" w:hAnsi="Cambria" w:cs="Times New Roman"/>
      <w:sz w:val="24"/>
      <w:szCs w:val="24"/>
    </w:rPr>
  </w:style>
  <w:style w:type="character" w:styleId="Titolodellibro">
    <w:name w:val="Book Title"/>
    <w:basedOn w:val="Carpredefinitoparagrafo"/>
    <w:uiPriority w:val="99"/>
    <w:qFormat/>
    <w:rPr>
      <w:rFonts w:cs="Times New Roman"/>
      <w:b/>
      <w:bCs/>
      <w:smallCaps/>
      <w:spacing w:val="5"/>
    </w:rPr>
  </w:style>
  <w:style w:type="paragraph" w:styleId="Titolosommario">
    <w:name w:val="TOC Heading"/>
    <w:basedOn w:val="Titolo1"/>
    <w:next w:val="Normale"/>
    <w:uiPriority w:val="99"/>
    <w:qFormat/>
    <w:pPr>
      <w:keepNext/>
      <w:keepLines/>
      <w:widowControl/>
      <w:pBdr>
        <w:top w:val="none" w:sz="0" w:space="0" w:color="auto"/>
        <w:left w:val="none" w:sz="0" w:space="0" w:color="auto"/>
        <w:bottom w:val="none" w:sz="0" w:space="0" w:color="auto"/>
        <w:right w:val="none" w:sz="0" w:space="0" w:color="auto"/>
      </w:pBdr>
      <w:shd w:val="clear" w:color="auto" w:fill="auto"/>
      <w:overflowPunct/>
      <w:autoSpaceDE/>
      <w:autoSpaceDN/>
      <w:adjustRightInd/>
      <w:spacing w:before="480" w:after="0" w:line="276" w:lineRule="auto"/>
      <w:jc w:val="left"/>
      <w:outlineLvl w:val="9"/>
    </w:pPr>
    <w:rPr>
      <w:rFonts w:ascii="Cambria" w:hAnsi="Cambria" w:cs="Times New Roman"/>
      <w:bCs/>
      <w:i w:val="0"/>
      <w:color w:val="365F91"/>
      <w:sz w:val="28"/>
      <w:szCs w:val="28"/>
    </w:rPr>
  </w:style>
  <w:style w:type="paragraph" w:styleId="Sommario3">
    <w:name w:val="toc 3"/>
    <w:basedOn w:val="Normale"/>
    <w:next w:val="Normale"/>
    <w:autoRedefine/>
    <w:uiPriority w:val="99"/>
    <w:pPr>
      <w:spacing w:after="100"/>
      <w:ind w:left="480"/>
    </w:pPr>
  </w:style>
  <w:style w:type="paragraph" w:customStyle="1" w:styleId="m-6350291795918196642gmail-msolistparagraph">
    <w:name w:val="m_-6350291795918196642gmail-msolistparagraph"/>
    <w:basedOn w:val="Normale"/>
    <w:uiPriority w:val="99"/>
    <w:pPr>
      <w:spacing w:before="100" w:beforeAutospacing="1" w:after="100" w:afterAutospacing="1"/>
    </w:pPr>
  </w:style>
  <w:style w:type="character" w:customStyle="1" w:styleId="Menzionenonrisolta1">
    <w:name w:val="Menzione non risolta1"/>
    <w:basedOn w:val="Carpredefinitoparagrafo"/>
    <w:uiPriority w:val="99"/>
    <w:semiHidden/>
    <w:rPr>
      <w:rFonts w:cs="Times New Roman"/>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6174">
      <w:marLeft w:val="0"/>
      <w:marRight w:val="0"/>
      <w:marTop w:val="0"/>
      <w:marBottom w:val="0"/>
      <w:divBdr>
        <w:top w:val="none" w:sz="0" w:space="0" w:color="auto"/>
        <w:left w:val="none" w:sz="0" w:space="0" w:color="auto"/>
        <w:bottom w:val="none" w:sz="0" w:space="0" w:color="auto"/>
        <w:right w:val="none" w:sz="0" w:space="0" w:color="auto"/>
      </w:divBdr>
      <w:divsChild>
        <w:div w:id="43986179">
          <w:marLeft w:val="0"/>
          <w:marRight w:val="0"/>
          <w:marTop w:val="0"/>
          <w:marBottom w:val="0"/>
          <w:divBdr>
            <w:top w:val="none" w:sz="0" w:space="0" w:color="auto"/>
            <w:left w:val="none" w:sz="0" w:space="0" w:color="auto"/>
            <w:bottom w:val="none" w:sz="0" w:space="0" w:color="auto"/>
            <w:right w:val="none" w:sz="0" w:space="0" w:color="auto"/>
          </w:divBdr>
        </w:div>
        <w:div w:id="43986181">
          <w:marLeft w:val="0"/>
          <w:marRight w:val="0"/>
          <w:marTop w:val="0"/>
          <w:marBottom w:val="0"/>
          <w:divBdr>
            <w:top w:val="none" w:sz="0" w:space="0" w:color="auto"/>
            <w:left w:val="none" w:sz="0" w:space="0" w:color="auto"/>
            <w:bottom w:val="none" w:sz="0" w:space="0" w:color="auto"/>
            <w:right w:val="none" w:sz="0" w:space="0" w:color="auto"/>
          </w:divBdr>
        </w:div>
        <w:div w:id="43986182">
          <w:marLeft w:val="0"/>
          <w:marRight w:val="0"/>
          <w:marTop w:val="0"/>
          <w:marBottom w:val="0"/>
          <w:divBdr>
            <w:top w:val="none" w:sz="0" w:space="0" w:color="auto"/>
            <w:left w:val="none" w:sz="0" w:space="0" w:color="auto"/>
            <w:bottom w:val="none" w:sz="0" w:space="0" w:color="auto"/>
            <w:right w:val="none" w:sz="0" w:space="0" w:color="auto"/>
          </w:divBdr>
        </w:div>
        <w:div w:id="43986284">
          <w:marLeft w:val="0"/>
          <w:marRight w:val="0"/>
          <w:marTop w:val="0"/>
          <w:marBottom w:val="0"/>
          <w:divBdr>
            <w:top w:val="none" w:sz="0" w:space="0" w:color="auto"/>
            <w:left w:val="none" w:sz="0" w:space="0" w:color="auto"/>
            <w:bottom w:val="none" w:sz="0" w:space="0" w:color="auto"/>
            <w:right w:val="none" w:sz="0" w:space="0" w:color="auto"/>
          </w:divBdr>
        </w:div>
        <w:div w:id="43986285">
          <w:marLeft w:val="0"/>
          <w:marRight w:val="0"/>
          <w:marTop w:val="0"/>
          <w:marBottom w:val="0"/>
          <w:divBdr>
            <w:top w:val="none" w:sz="0" w:space="0" w:color="auto"/>
            <w:left w:val="none" w:sz="0" w:space="0" w:color="auto"/>
            <w:bottom w:val="none" w:sz="0" w:space="0" w:color="auto"/>
            <w:right w:val="none" w:sz="0" w:space="0" w:color="auto"/>
          </w:divBdr>
        </w:div>
        <w:div w:id="43986290">
          <w:marLeft w:val="0"/>
          <w:marRight w:val="0"/>
          <w:marTop w:val="0"/>
          <w:marBottom w:val="0"/>
          <w:divBdr>
            <w:top w:val="none" w:sz="0" w:space="0" w:color="auto"/>
            <w:left w:val="none" w:sz="0" w:space="0" w:color="auto"/>
            <w:bottom w:val="none" w:sz="0" w:space="0" w:color="auto"/>
            <w:right w:val="none" w:sz="0" w:space="0" w:color="auto"/>
          </w:divBdr>
        </w:div>
        <w:div w:id="43986291">
          <w:marLeft w:val="0"/>
          <w:marRight w:val="0"/>
          <w:marTop w:val="0"/>
          <w:marBottom w:val="0"/>
          <w:divBdr>
            <w:top w:val="none" w:sz="0" w:space="0" w:color="auto"/>
            <w:left w:val="none" w:sz="0" w:space="0" w:color="auto"/>
            <w:bottom w:val="none" w:sz="0" w:space="0" w:color="auto"/>
            <w:right w:val="none" w:sz="0" w:space="0" w:color="auto"/>
          </w:divBdr>
        </w:div>
        <w:div w:id="43986292">
          <w:marLeft w:val="0"/>
          <w:marRight w:val="0"/>
          <w:marTop w:val="0"/>
          <w:marBottom w:val="0"/>
          <w:divBdr>
            <w:top w:val="none" w:sz="0" w:space="0" w:color="auto"/>
            <w:left w:val="none" w:sz="0" w:space="0" w:color="auto"/>
            <w:bottom w:val="none" w:sz="0" w:space="0" w:color="auto"/>
            <w:right w:val="none" w:sz="0" w:space="0" w:color="auto"/>
          </w:divBdr>
        </w:div>
        <w:div w:id="43986294">
          <w:marLeft w:val="0"/>
          <w:marRight w:val="0"/>
          <w:marTop w:val="0"/>
          <w:marBottom w:val="0"/>
          <w:divBdr>
            <w:top w:val="none" w:sz="0" w:space="0" w:color="auto"/>
            <w:left w:val="none" w:sz="0" w:space="0" w:color="auto"/>
            <w:bottom w:val="none" w:sz="0" w:space="0" w:color="auto"/>
            <w:right w:val="none" w:sz="0" w:space="0" w:color="auto"/>
          </w:divBdr>
        </w:div>
        <w:div w:id="43986295">
          <w:marLeft w:val="0"/>
          <w:marRight w:val="0"/>
          <w:marTop w:val="0"/>
          <w:marBottom w:val="0"/>
          <w:divBdr>
            <w:top w:val="none" w:sz="0" w:space="0" w:color="auto"/>
            <w:left w:val="none" w:sz="0" w:space="0" w:color="auto"/>
            <w:bottom w:val="none" w:sz="0" w:space="0" w:color="auto"/>
            <w:right w:val="none" w:sz="0" w:space="0" w:color="auto"/>
          </w:divBdr>
        </w:div>
      </w:divsChild>
    </w:div>
    <w:div w:id="43986175">
      <w:marLeft w:val="0"/>
      <w:marRight w:val="0"/>
      <w:marTop w:val="0"/>
      <w:marBottom w:val="0"/>
      <w:divBdr>
        <w:top w:val="none" w:sz="0" w:space="0" w:color="auto"/>
        <w:left w:val="none" w:sz="0" w:space="0" w:color="auto"/>
        <w:bottom w:val="none" w:sz="0" w:space="0" w:color="auto"/>
        <w:right w:val="none" w:sz="0" w:space="0" w:color="auto"/>
      </w:divBdr>
    </w:div>
    <w:div w:id="43986176">
      <w:marLeft w:val="0"/>
      <w:marRight w:val="0"/>
      <w:marTop w:val="0"/>
      <w:marBottom w:val="0"/>
      <w:divBdr>
        <w:top w:val="none" w:sz="0" w:space="0" w:color="auto"/>
        <w:left w:val="none" w:sz="0" w:space="0" w:color="auto"/>
        <w:bottom w:val="none" w:sz="0" w:space="0" w:color="auto"/>
        <w:right w:val="none" w:sz="0" w:space="0" w:color="auto"/>
      </w:divBdr>
    </w:div>
    <w:div w:id="43986177">
      <w:marLeft w:val="0"/>
      <w:marRight w:val="0"/>
      <w:marTop w:val="0"/>
      <w:marBottom w:val="0"/>
      <w:divBdr>
        <w:top w:val="none" w:sz="0" w:space="0" w:color="auto"/>
        <w:left w:val="none" w:sz="0" w:space="0" w:color="auto"/>
        <w:bottom w:val="none" w:sz="0" w:space="0" w:color="auto"/>
        <w:right w:val="none" w:sz="0" w:space="0" w:color="auto"/>
      </w:divBdr>
    </w:div>
    <w:div w:id="43986178">
      <w:marLeft w:val="0"/>
      <w:marRight w:val="0"/>
      <w:marTop w:val="0"/>
      <w:marBottom w:val="0"/>
      <w:divBdr>
        <w:top w:val="none" w:sz="0" w:space="0" w:color="auto"/>
        <w:left w:val="none" w:sz="0" w:space="0" w:color="auto"/>
        <w:bottom w:val="none" w:sz="0" w:space="0" w:color="auto"/>
        <w:right w:val="none" w:sz="0" w:space="0" w:color="auto"/>
      </w:divBdr>
    </w:div>
    <w:div w:id="43986180">
      <w:marLeft w:val="0"/>
      <w:marRight w:val="0"/>
      <w:marTop w:val="0"/>
      <w:marBottom w:val="0"/>
      <w:divBdr>
        <w:top w:val="none" w:sz="0" w:space="0" w:color="auto"/>
        <w:left w:val="none" w:sz="0" w:space="0" w:color="auto"/>
        <w:bottom w:val="none" w:sz="0" w:space="0" w:color="auto"/>
        <w:right w:val="none" w:sz="0" w:space="0" w:color="auto"/>
      </w:divBdr>
    </w:div>
    <w:div w:id="43986183">
      <w:marLeft w:val="0"/>
      <w:marRight w:val="0"/>
      <w:marTop w:val="0"/>
      <w:marBottom w:val="0"/>
      <w:divBdr>
        <w:top w:val="none" w:sz="0" w:space="0" w:color="auto"/>
        <w:left w:val="none" w:sz="0" w:space="0" w:color="auto"/>
        <w:bottom w:val="none" w:sz="0" w:space="0" w:color="auto"/>
        <w:right w:val="none" w:sz="0" w:space="0" w:color="auto"/>
      </w:divBdr>
    </w:div>
    <w:div w:id="43986184">
      <w:marLeft w:val="0"/>
      <w:marRight w:val="0"/>
      <w:marTop w:val="0"/>
      <w:marBottom w:val="0"/>
      <w:divBdr>
        <w:top w:val="none" w:sz="0" w:space="0" w:color="auto"/>
        <w:left w:val="none" w:sz="0" w:space="0" w:color="auto"/>
        <w:bottom w:val="none" w:sz="0" w:space="0" w:color="auto"/>
        <w:right w:val="none" w:sz="0" w:space="0" w:color="auto"/>
      </w:divBdr>
    </w:div>
    <w:div w:id="43986186">
      <w:marLeft w:val="0"/>
      <w:marRight w:val="0"/>
      <w:marTop w:val="0"/>
      <w:marBottom w:val="0"/>
      <w:divBdr>
        <w:top w:val="none" w:sz="0" w:space="0" w:color="auto"/>
        <w:left w:val="none" w:sz="0" w:space="0" w:color="auto"/>
        <w:bottom w:val="none" w:sz="0" w:space="0" w:color="auto"/>
        <w:right w:val="none" w:sz="0" w:space="0" w:color="auto"/>
      </w:divBdr>
    </w:div>
    <w:div w:id="43986188">
      <w:marLeft w:val="0"/>
      <w:marRight w:val="0"/>
      <w:marTop w:val="0"/>
      <w:marBottom w:val="0"/>
      <w:divBdr>
        <w:top w:val="none" w:sz="0" w:space="0" w:color="auto"/>
        <w:left w:val="none" w:sz="0" w:space="0" w:color="auto"/>
        <w:bottom w:val="none" w:sz="0" w:space="0" w:color="auto"/>
        <w:right w:val="none" w:sz="0" w:space="0" w:color="auto"/>
      </w:divBdr>
      <w:divsChild>
        <w:div w:id="43986185">
          <w:marLeft w:val="0"/>
          <w:marRight w:val="0"/>
          <w:marTop w:val="0"/>
          <w:marBottom w:val="0"/>
          <w:divBdr>
            <w:top w:val="none" w:sz="0" w:space="0" w:color="auto"/>
            <w:left w:val="none" w:sz="0" w:space="0" w:color="auto"/>
            <w:bottom w:val="none" w:sz="0" w:space="0" w:color="auto"/>
            <w:right w:val="none" w:sz="0" w:space="0" w:color="auto"/>
          </w:divBdr>
        </w:div>
        <w:div w:id="43986187">
          <w:marLeft w:val="0"/>
          <w:marRight w:val="0"/>
          <w:marTop w:val="0"/>
          <w:marBottom w:val="0"/>
          <w:divBdr>
            <w:top w:val="none" w:sz="0" w:space="0" w:color="auto"/>
            <w:left w:val="none" w:sz="0" w:space="0" w:color="auto"/>
            <w:bottom w:val="none" w:sz="0" w:space="0" w:color="auto"/>
            <w:right w:val="none" w:sz="0" w:space="0" w:color="auto"/>
          </w:divBdr>
        </w:div>
        <w:div w:id="43986189">
          <w:marLeft w:val="0"/>
          <w:marRight w:val="0"/>
          <w:marTop w:val="0"/>
          <w:marBottom w:val="0"/>
          <w:divBdr>
            <w:top w:val="none" w:sz="0" w:space="0" w:color="auto"/>
            <w:left w:val="none" w:sz="0" w:space="0" w:color="auto"/>
            <w:bottom w:val="none" w:sz="0" w:space="0" w:color="auto"/>
            <w:right w:val="none" w:sz="0" w:space="0" w:color="auto"/>
          </w:divBdr>
        </w:div>
        <w:div w:id="43986190">
          <w:marLeft w:val="0"/>
          <w:marRight w:val="0"/>
          <w:marTop w:val="0"/>
          <w:marBottom w:val="0"/>
          <w:divBdr>
            <w:top w:val="none" w:sz="0" w:space="0" w:color="auto"/>
            <w:left w:val="none" w:sz="0" w:space="0" w:color="auto"/>
            <w:bottom w:val="none" w:sz="0" w:space="0" w:color="auto"/>
            <w:right w:val="none" w:sz="0" w:space="0" w:color="auto"/>
          </w:divBdr>
        </w:div>
        <w:div w:id="43986191">
          <w:marLeft w:val="0"/>
          <w:marRight w:val="0"/>
          <w:marTop w:val="0"/>
          <w:marBottom w:val="0"/>
          <w:divBdr>
            <w:top w:val="none" w:sz="0" w:space="0" w:color="auto"/>
            <w:left w:val="none" w:sz="0" w:space="0" w:color="auto"/>
            <w:bottom w:val="none" w:sz="0" w:space="0" w:color="auto"/>
            <w:right w:val="none" w:sz="0" w:space="0" w:color="auto"/>
          </w:divBdr>
        </w:div>
      </w:divsChild>
    </w:div>
    <w:div w:id="43986192">
      <w:marLeft w:val="0"/>
      <w:marRight w:val="0"/>
      <w:marTop w:val="0"/>
      <w:marBottom w:val="0"/>
      <w:divBdr>
        <w:top w:val="none" w:sz="0" w:space="0" w:color="auto"/>
        <w:left w:val="none" w:sz="0" w:space="0" w:color="auto"/>
        <w:bottom w:val="none" w:sz="0" w:space="0" w:color="auto"/>
        <w:right w:val="none" w:sz="0" w:space="0" w:color="auto"/>
      </w:divBdr>
    </w:div>
    <w:div w:id="43986193">
      <w:marLeft w:val="0"/>
      <w:marRight w:val="0"/>
      <w:marTop w:val="0"/>
      <w:marBottom w:val="0"/>
      <w:divBdr>
        <w:top w:val="none" w:sz="0" w:space="0" w:color="auto"/>
        <w:left w:val="none" w:sz="0" w:space="0" w:color="auto"/>
        <w:bottom w:val="none" w:sz="0" w:space="0" w:color="auto"/>
        <w:right w:val="none" w:sz="0" w:space="0" w:color="auto"/>
      </w:divBdr>
    </w:div>
    <w:div w:id="43986194">
      <w:marLeft w:val="0"/>
      <w:marRight w:val="0"/>
      <w:marTop w:val="0"/>
      <w:marBottom w:val="0"/>
      <w:divBdr>
        <w:top w:val="none" w:sz="0" w:space="0" w:color="auto"/>
        <w:left w:val="none" w:sz="0" w:space="0" w:color="auto"/>
        <w:bottom w:val="none" w:sz="0" w:space="0" w:color="auto"/>
        <w:right w:val="none" w:sz="0" w:space="0" w:color="auto"/>
      </w:divBdr>
    </w:div>
    <w:div w:id="43986195">
      <w:marLeft w:val="0"/>
      <w:marRight w:val="0"/>
      <w:marTop w:val="0"/>
      <w:marBottom w:val="0"/>
      <w:divBdr>
        <w:top w:val="none" w:sz="0" w:space="0" w:color="auto"/>
        <w:left w:val="none" w:sz="0" w:space="0" w:color="auto"/>
        <w:bottom w:val="none" w:sz="0" w:space="0" w:color="auto"/>
        <w:right w:val="none" w:sz="0" w:space="0" w:color="auto"/>
      </w:divBdr>
    </w:div>
    <w:div w:id="43986196">
      <w:marLeft w:val="0"/>
      <w:marRight w:val="0"/>
      <w:marTop w:val="0"/>
      <w:marBottom w:val="0"/>
      <w:divBdr>
        <w:top w:val="none" w:sz="0" w:space="0" w:color="auto"/>
        <w:left w:val="none" w:sz="0" w:space="0" w:color="auto"/>
        <w:bottom w:val="none" w:sz="0" w:space="0" w:color="auto"/>
        <w:right w:val="none" w:sz="0" w:space="0" w:color="auto"/>
      </w:divBdr>
    </w:div>
    <w:div w:id="43986198">
      <w:marLeft w:val="0"/>
      <w:marRight w:val="0"/>
      <w:marTop w:val="0"/>
      <w:marBottom w:val="0"/>
      <w:divBdr>
        <w:top w:val="none" w:sz="0" w:space="0" w:color="auto"/>
        <w:left w:val="none" w:sz="0" w:space="0" w:color="auto"/>
        <w:bottom w:val="none" w:sz="0" w:space="0" w:color="auto"/>
        <w:right w:val="none" w:sz="0" w:space="0" w:color="auto"/>
      </w:divBdr>
    </w:div>
    <w:div w:id="43986199">
      <w:marLeft w:val="0"/>
      <w:marRight w:val="0"/>
      <w:marTop w:val="0"/>
      <w:marBottom w:val="0"/>
      <w:divBdr>
        <w:top w:val="none" w:sz="0" w:space="0" w:color="auto"/>
        <w:left w:val="none" w:sz="0" w:space="0" w:color="auto"/>
        <w:bottom w:val="none" w:sz="0" w:space="0" w:color="auto"/>
        <w:right w:val="none" w:sz="0" w:space="0" w:color="auto"/>
      </w:divBdr>
    </w:div>
    <w:div w:id="43986201">
      <w:marLeft w:val="0"/>
      <w:marRight w:val="0"/>
      <w:marTop w:val="0"/>
      <w:marBottom w:val="0"/>
      <w:divBdr>
        <w:top w:val="none" w:sz="0" w:space="0" w:color="auto"/>
        <w:left w:val="none" w:sz="0" w:space="0" w:color="auto"/>
        <w:bottom w:val="none" w:sz="0" w:space="0" w:color="auto"/>
        <w:right w:val="none" w:sz="0" w:space="0" w:color="auto"/>
      </w:divBdr>
    </w:div>
    <w:div w:id="43986202">
      <w:marLeft w:val="0"/>
      <w:marRight w:val="0"/>
      <w:marTop w:val="0"/>
      <w:marBottom w:val="0"/>
      <w:divBdr>
        <w:top w:val="none" w:sz="0" w:space="0" w:color="auto"/>
        <w:left w:val="none" w:sz="0" w:space="0" w:color="auto"/>
        <w:bottom w:val="none" w:sz="0" w:space="0" w:color="auto"/>
        <w:right w:val="none" w:sz="0" w:space="0" w:color="auto"/>
      </w:divBdr>
    </w:div>
    <w:div w:id="43986203">
      <w:marLeft w:val="0"/>
      <w:marRight w:val="0"/>
      <w:marTop w:val="0"/>
      <w:marBottom w:val="0"/>
      <w:divBdr>
        <w:top w:val="none" w:sz="0" w:space="0" w:color="auto"/>
        <w:left w:val="none" w:sz="0" w:space="0" w:color="auto"/>
        <w:bottom w:val="none" w:sz="0" w:space="0" w:color="auto"/>
        <w:right w:val="none" w:sz="0" w:space="0" w:color="auto"/>
      </w:divBdr>
    </w:div>
    <w:div w:id="43986204">
      <w:marLeft w:val="0"/>
      <w:marRight w:val="0"/>
      <w:marTop w:val="0"/>
      <w:marBottom w:val="0"/>
      <w:divBdr>
        <w:top w:val="none" w:sz="0" w:space="0" w:color="auto"/>
        <w:left w:val="none" w:sz="0" w:space="0" w:color="auto"/>
        <w:bottom w:val="none" w:sz="0" w:space="0" w:color="auto"/>
        <w:right w:val="none" w:sz="0" w:space="0" w:color="auto"/>
      </w:divBdr>
    </w:div>
    <w:div w:id="43986205">
      <w:marLeft w:val="0"/>
      <w:marRight w:val="0"/>
      <w:marTop w:val="0"/>
      <w:marBottom w:val="0"/>
      <w:divBdr>
        <w:top w:val="none" w:sz="0" w:space="0" w:color="auto"/>
        <w:left w:val="none" w:sz="0" w:space="0" w:color="auto"/>
        <w:bottom w:val="none" w:sz="0" w:space="0" w:color="auto"/>
        <w:right w:val="none" w:sz="0" w:space="0" w:color="auto"/>
      </w:divBdr>
    </w:div>
    <w:div w:id="43986206">
      <w:marLeft w:val="0"/>
      <w:marRight w:val="0"/>
      <w:marTop w:val="0"/>
      <w:marBottom w:val="0"/>
      <w:divBdr>
        <w:top w:val="none" w:sz="0" w:space="0" w:color="auto"/>
        <w:left w:val="none" w:sz="0" w:space="0" w:color="auto"/>
        <w:bottom w:val="none" w:sz="0" w:space="0" w:color="auto"/>
        <w:right w:val="none" w:sz="0" w:space="0" w:color="auto"/>
      </w:divBdr>
    </w:div>
    <w:div w:id="43986207">
      <w:marLeft w:val="0"/>
      <w:marRight w:val="0"/>
      <w:marTop w:val="0"/>
      <w:marBottom w:val="0"/>
      <w:divBdr>
        <w:top w:val="none" w:sz="0" w:space="0" w:color="auto"/>
        <w:left w:val="none" w:sz="0" w:space="0" w:color="auto"/>
        <w:bottom w:val="none" w:sz="0" w:space="0" w:color="auto"/>
        <w:right w:val="none" w:sz="0" w:space="0" w:color="auto"/>
      </w:divBdr>
    </w:div>
    <w:div w:id="43986208">
      <w:marLeft w:val="0"/>
      <w:marRight w:val="0"/>
      <w:marTop w:val="0"/>
      <w:marBottom w:val="0"/>
      <w:divBdr>
        <w:top w:val="none" w:sz="0" w:space="0" w:color="auto"/>
        <w:left w:val="none" w:sz="0" w:space="0" w:color="auto"/>
        <w:bottom w:val="none" w:sz="0" w:space="0" w:color="auto"/>
        <w:right w:val="none" w:sz="0" w:space="0" w:color="auto"/>
      </w:divBdr>
    </w:div>
    <w:div w:id="43986210">
      <w:marLeft w:val="0"/>
      <w:marRight w:val="0"/>
      <w:marTop w:val="0"/>
      <w:marBottom w:val="0"/>
      <w:divBdr>
        <w:top w:val="none" w:sz="0" w:space="0" w:color="auto"/>
        <w:left w:val="none" w:sz="0" w:space="0" w:color="auto"/>
        <w:bottom w:val="none" w:sz="0" w:space="0" w:color="auto"/>
        <w:right w:val="none" w:sz="0" w:space="0" w:color="auto"/>
      </w:divBdr>
    </w:div>
    <w:div w:id="43986211">
      <w:marLeft w:val="0"/>
      <w:marRight w:val="0"/>
      <w:marTop w:val="0"/>
      <w:marBottom w:val="0"/>
      <w:divBdr>
        <w:top w:val="none" w:sz="0" w:space="0" w:color="auto"/>
        <w:left w:val="none" w:sz="0" w:space="0" w:color="auto"/>
        <w:bottom w:val="none" w:sz="0" w:space="0" w:color="auto"/>
        <w:right w:val="none" w:sz="0" w:space="0" w:color="auto"/>
      </w:divBdr>
    </w:div>
    <w:div w:id="43986212">
      <w:marLeft w:val="0"/>
      <w:marRight w:val="0"/>
      <w:marTop w:val="0"/>
      <w:marBottom w:val="0"/>
      <w:divBdr>
        <w:top w:val="none" w:sz="0" w:space="0" w:color="auto"/>
        <w:left w:val="none" w:sz="0" w:space="0" w:color="auto"/>
        <w:bottom w:val="none" w:sz="0" w:space="0" w:color="auto"/>
        <w:right w:val="none" w:sz="0" w:space="0" w:color="auto"/>
      </w:divBdr>
    </w:div>
    <w:div w:id="43986213">
      <w:marLeft w:val="0"/>
      <w:marRight w:val="0"/>
      <w:marTop w:val="0"/>
      <w:marBottom w:val="0"/>
      <w:divBdr>
        <w:top w:val="none" w:sz="0" w:space="0" w:color="auto"/>
        <w:left w:val="none" w:sz="0" w:space="0" w:color="auto"/>
        <w:bottom w:val="none" w:sz="0" w:space="0" w:color="auto"/>
        <w:right w:val="none" w:sz="0" w:space="0" w:color="auto"/>
      </w:divBdr>
    </w:div>
    <w:div w:id="43986214">
      <w:marLeft w:val="0"/>
      <w:marRight w:val="0"/>
      <w:marTop w:val="0"/>
      <w:marBottom w:val="0"/>
      <w:divBdr>
        <w:top w:val="none" w:sz="0" w:space="0" w:color="auto"/>
        <w:left w:val="none" w:sz="0" w:space="0" w:color="auto"/>
        <w:bottom w:val="none" w:sz="0" w:space="0" w:color="auto"/>
        <w:right w:val="none" w:sz="0" w:space="0" w:color="auto"/>
      </w:divBdr>
    </w:div>
    <w:div w:id="43986215">
      <w:marLeft w:val="0"/>
      <w:marRight w:val="0"/>
      <w:marTop w:val="0"/>
      <w:marBottom w:val="0"/>
      <w:divBdr>
        <w:top w:val="none" w:sz="0" w:space="0" w:color="auto"/>
        <w:left w:val="none" w:sz="0" w:space="0" w:color="auto"/>
        <w:bottom w:val="none" w:sz="0" w:space="0" w:color="auto"/>
        <w:right w:val="none" w:sz="0" w:space="0" w:color="auto"/>
      </w:divBdr>
    </w:div>
    <w:div w:id="43986216">
      <w:marLeft w:val="0"/>
      <w:marRight w:val="0"/>
      <w:marTop w:val="0"/>
      <w:marBottom w:val="0"/>
      <w:divBdr>
        <w:top w:val="none" w:sz="0" w:space="0" w:color="auto"/>
        <w:left w:val="none" w:sz="0" w:space="0" w:color="auto"/>
        <w:bottom w:val="none" w:sz="0" w:space="0" w:color="auto"/>
        <w:right w:val="none" w:sz="0" w:space="0" w:color="auto"/>
      </w:divBdr>
    </w:div>
    <w:div w:id="43986217">
      <w:marLeft w:val="0"/>
      <w:marRight w:val="0"/>
      <w:marTop w:val="0"/>
      <w:marBottom w:val="0"/>
      <w:divBdr>
        <w:top w:val="none" w:sz="0" w:space="0" w:color="auto"/>
        <w:left w:val="none" w:sz="0" w:space="0" w:color="auto"/>
        <w:bottom w:val="none" w:sz="0" w:space="0" w:color="auto"/>
        <w:right w:val="none" w:sz="0" w:space="0" w:color="auto"/>
      </w:divBdr>
    </w:div>
    <w:div w:id="43986218">
      <w:marLeft w:val="0"/>
      <w:marRight w:val="0"/>
      <w:marTop w:val="0"/>
      <w:marBottom w:val="0"/>
      <w:divBdr>
        <w:top w:val="none" w:sz="0" w:space="0" w:color="auto"/>
        <w:left w:val="none" w:sz="0" w:space="0" w:color="auto"/>
        <w:bottom w:val="none" w:sz="0" w:space="0" w:color="auto"/>
        <w:right w:val="none" w:sz="0" w:space="0" w:color="auto"/>
      </w:divBdr>
    </w:div>
    <w:div w:id="43986219">
      <w:marLeft w:val="0"/>
      <w:marRight w:val="0"/>
      <w:marTop w:val="0"/>
      <w:marBottom w:val="0"/>
      <w:divBdr>
        <w:top w:val="none" w:sz="0" w:space="0" w:color="auto"/>
        <w:left w:val="none" w:sz="0" w:space="0" w:color="auto"/>
        <w:bottom w:val="none" w:sz="0" w:space="0" w:color="auto"/>
        <w:right w:val="none" w:sz="0" w:space="0" w:color="auto"/>
      </w:divBdr>
    </w:div>
    <w:div w:id="43986220">
      <w:marLeft w:val="0"/>
      <w:marRight w:val="0"/>
      <w:marTop w:val="0"/>
      <w:marBottom w:val="0"/>
      <w:divBdr>
        <w:top w:val="none" w:sz="0" w:space="0" w:color="auto"/>
        <w:left w:val="none" w:sz="0" w:space="0" w:color="auto"/>
        <w:bottom w:val="none" w:sz="0" w:space="0" w:color="auto"/>
        <w:right w:val="none" w:sz="0" w:space="0" w:color="auto"/>
      </w:divBdr>
    </w:div>
    <w:div w:id="43986221">
      <w:marLeft w:val="0"/>
      <w:marRight w:val="0"/>
      <w:marTop w:val="0"/>
      <w:marBottom w:val="0"/>
      <w:divBdr>
        <w:top w:val="none" w:sz="0" w:space="0" w:color="auto"/>
        <w:left w:val="none" w:sz="0" w:space="0" w:color="auto"/>
        <w:bottom w:val="none" w:sz="0" w:space="0" w:color="auto"/>
        <w:right w:val="none" w:sz="0" w:space="0" w:color="auto"/>
      </w:divBdr>
    </w:div>
    <w:div w:id="43986222">
      <w:marLeft w:val="0"/>
      <w:marRight w:val="0"/>
      <w:marTop w:val="0"/>
      <w:marBottom w:val="0"/>
      <w:divBdr>
        <w:top w:val="none" w:sz="0" w:space="0" w:color="auto"/>
        <w:left w:val="none" w:sz="0" w:space="0" w:color="auto"/>
        <w:bottom w:val="none" w:sz="0" w:space="0" w:color="auto"/>
        <w:right w:val="none" w:sz="0" w:space="0" w:color="auto"/>
      </w:divBdr>
    </w:div>
    <w:div w:id="43986223">
      <w:marLeft w:val="0"/>
      <w:marRight w:val="0"/>
      <w:marTop w:val="0"/>
      <w:marBottom w:val="0"/>
      <w:divBdr>
        <w:top w:val="none" w:sz="0" w:space="0" w:color="auto"/>
        <w:left w:val="none" w:sz="0" w:space="0" w:color="auto"/>
        <w:bottom w:val="none" w:sz="0" w:space="0" w:color="auto"/>
        <w:right w:val="none" w:sz="0" w:space="0" w:color="auto"/>
      </w:divBdr>
    </w:div>
    <w:div w:id="43986224">
      <w:marLeft w:val="0"/>
      <w:marRight w:val="0"/>
      <w:marTop w:val="0"/>
      <w:marBottom w:val="0"/>
      <w:divBdr>
        <w:top w:val="none" w:sz="0" w:space="0" w:color="auto"/>
        <w:left w:val="none" w:sz="0" w:space="0" w:color="auto"/>
        <w:bottom w:val="none" w:sz="0" w:space="0" w:color="auto"/>
        <w:right w:val="none" w:sz="0" w:space="0" w:color="auto"/>
      </w:divBdr>
    </w:div>
    <w:div w:id="43986225">
      <w:marLeft w:val="0"/>
      <w:marRight w:val="0"/>
      <w:marTop w:val="0"/>
      <w:marBottom w:val="0"/>
      <w:divBdr>
        <w:top w:val="none" w:sz="0" w:space="0" w:color="auto"/>
        <w:left w:val="none" w:sz="0" w:space="0" w:color="auto"/>
        <w:bottom w:val="none" w:sz="0" w:space="0" w:color="auto"/>
        <w:right w:val="none" w:sz="0" w:space="0" w:color="auto"/>
      </w:divBdr>
    </w:div>
    <w:div w:id="43986226">
      <w:marLeft w:val="0"/>
      <w:marRight w:val="0"/>
      <w:marTop w:val="0"/>
      <w:marBottom w:val="0"/>
      <w:divBdr>
        <w:top w:val="none" w:sz="0" w:space="0" w:color="auto"/>
        <w:left w:val="none" w:sz="0" w:space="0" w:color="auto"/>
        <w:bottom w:val="none" w:sz="0" w:space="0" w:color="auto"/>
        <w:right w:val="none" w:sz="0" w:space="0" w:color="auto"/>
      </w:divBdr>
    </w:div>
    <w:div w:id="43986227">
      <w:marLeft w:val="0"/>
      <w:marRight w:val="0"/>
      <w:marTop w:val="0"/>
      <w:marBottom w:val="0"/>
      <w:divBdr>
        <w:top w:val="none" w:sz="0" w:space="0" w:color="auto"/>
        <w:left w:val="none" w:sz="0" w:space="0" w:color="auto"/>
        <w:bottom w:val="none" w:sz="0" w:space="0" w:color="auto"/>
        <w:right w:val="none" w:sz="0" w:space="0" w:color="auto"/>
      </w:divBdr>
    </w:div>
    <w:div w:id="43986228">
      <w:marLeft w:val="0"/>
      <w:marRight w:val="0"/>
      <w:marTop w:val="0"/>
      <w:marBottom w:val="0"/>
      <w:divBdr>
        <w:top w:val="none" w:sz="0" w:space="0" w:color="auto"/>
        <w:left w:val="none" w:sz="0" w:space="0" w:color="auto"/>
        <w:bottom w:val="none" w:sz="0" w:space="0" w:color="auto"/>
        <w:right w:val="none" w:sz="0" w:space="0" w:color="auto"/>
      </w:divBdr>
    </w:div>
    <w:div w:id="43986229">
      <w:marLeft w:val="0"/>
      <w:marRight w:val="0"/>
      <w:marTop w:val="0"/>
      <w:marBottom w:val="0"/>
      <w:divBdr>
        <w:top w:val="none" w:sz="0" w:space="0" w:color="auto"/>
        <w:left w:val="none" w:sz="0" w:space="0" w:color="auto"/>
        <w:bottom w:val="none" w:sz="0" w:space="0" w:color="auto"/>
        <w:right w:val="none" w:sz="0" w:space="0" w:color="auto"/>
      </w:divBdr>
    </w:div>
    <w:div w:id="43986230">
      <w:marLeft w:val="0"/>
      <w:marRight w:val="0"/>
      <w:marTop w:val="0"/>
      <w:marBottom w:val="0"/>
      <w:divBdr>
        <w:top w:val="none" w:sz="0" w:space="0" w:color="auto"/>
        <w:left w:val="none" w:sz="0" w:space="0" w:color="auto"/>
        <w:bottom w:val="none" w:sz="0" w:space="0" w:color="auto"/>
        <w:right w:val="none" w:sz="0" w:space="0" w:color="auto"/>
      </w:divBdr>
    </w:div>
    <w:div w:id="43986231">
      <w:marLeft w:val="0"/>
      <w:marRight w:val="0"/>
      <w:marTop w:val="0"/>
      <w:marBottom w:val="0"/>
      <w:divBdr>
        <w:top w:val="none" w:sz="0" w:space="0" w:color="auto"/>
        <w:left w:val="none" w:sz="0" w:space="0" w:color="auto"/>
        <w:bottom w:val="none" w:sz="0" w:space="0" w:color="auto"/>
        <w:right w:val="none" w:sz="0" w:space="0" w:color="auto"/>
      </w:divBdr>
    </w:div>
    <w:div w:id="43986232">
      <w:marLeft w:val="0"/>
      <w:marRight w:val="0"/>
      <w:marTop w:val="0"/>
      <w:marBottom w:val="0"/>
      <w:divBdr>
        <w:top w:val="none" w:sz="0" w:space="0" w:color="auto"/>
        <w:left w:val="none" w:sz="0" w:space="0" w:color="auto"/>
        <w:bottom w:val="none" w:sz="0" w:space="0" w:color="auto"/>
        <w:right w:val="none" w:sz="0" w:space="0" w:color="auto"/>
      </w:divBdr>
    </w:div>
    <w:div w:id="43986233">
      <w:marLeft w:val="0"/>
      <w:marRight w:val="0"/>
      <w:marTop w:val="0"/>
      <w:marBottom w:val="0"/>
      <w:divBdr>
        <w:top w:val="none" w:sz="0" w:space="0" w:color="auto"/>
        <w:left w:val="none" w:sz="0" w:space="0" w:color="auto"/>
        <w:bottom w:val="none" w:sz="0" w:space="0" w:color="auto"/>
        <w:right w:val="none" w:sz="0" w:space="0" w:color="auto"/>
      </w:divBdr>
    </w:div>
    <w:div w:id="43986234">
      <w:marLeft w:val="0"/>
      <w:marRight w:val="0"/>
      <w:marTop w:val="0"/>
      <w:marBottom w:val="0"/>
      <w:divBdr>
        <w:top w:val="none" w:sz="0" w:space="0" w:color="auto"/>
        <w:left w:val="none" w:sz="0" w:space="0" w:color="auto"/>
        <w:bottom w:val="none" w:sz="0" w:space="0" w:color="auto"/>
        <w:right w:val="none" w:sz="0" w:space="0" w:color="auto"/>
      </w:divBdr>
    </w:div>
    <w:div w:id="43986235">
      <w:marLeft w:val="0"/>
      <w:marRight w:val="0"/>
      <w:marTop w:val="0"/>
      <w:marBottom w:val="0"/>
      <w:divBdr>
        <w:top w:val="none" w:sz="0" w:space="0" w:color="auto"/>
        <w:left w:val="none" w:sz="0" w:space="0" w:color="auto"/>
        <w:bottom w:val="none" w:sz="0" w:space="0" w:color="auto"/>
        <w:right w:val="none" w:sz="0" w:space="0" w:color="auto"/>
      </w:divBdr>
    </w:div>
    <w:div w:id="43986236">
      <w:marLeft w:val="0"/>
      <w:marRight w:val="0"/>
      <w:marTop w:val="0"/>
      <w:marBottom w:val="0"/>
      <w:divBdr>
        <w:top w:val="none" w:sz="0" w:space="0" w:color="auto"/>
        <w:left w:val="none" w:sz="0" w:space="0" w:color="auto"/>
        <w:bottom w:val="none" w:sz="0" w:space="0" w:color="auto"/>
        <w:right w:val="none" w:sz="0" w:space="0" w:color="auto"/>
      </w:divBdr>
    </w:div>
    <w:div w:id="43986237">
      <w:marLeft w:val="0"/>
      <w:marRight w:val="0"/>
      <w:marTop w:val="0"/>
      <w:marBottom w:val="0"/>
      <w:divBdr>
        <w:top w:val="none" w:sz="0" w:space="0" w:color="auto"/>
        <w:left w:val="none" w:sz="0" w:space="0" w:color="auto"/>
        <w:bottom w:val="none" w:sz="0" w:space="0" w:color="auto"/>
        <w:right w:val="none" w:sz="0" w:space="0" w:color="auto"/>
      </w:divBdr>
    </w:div>
    <w:div w:id="43986238">
      <w:marLeft w:val="0"/>
      <w:marRight w:val="0"/>
      <w:marTop w:val="0"/>
      <w:marBottom w:val="0"/>
      <w:divBdr>
        <w:top w:val="none" w:sz="0" w:space="0" w:color="auto"/>
        <w:left w:val="none" w:sz="0" w:space="0" w:color="auto"/>
        <w:bottom w:val="none" w:sz="0" w:space="0" w:color="auto"/>
        <w:right w:val="none" w:sz="0" w:space="0" w:color="auto"/>
      </w:divBdr>
    </w:div>
    <w:div w:id="43986239">
      <w:marLeft w:val="0"/>
      <w:marRight w:val="0"/>
      <w:marTop w:val="0"/>
      <w:marBottom w:val="0"/>
      <w:divBdr>
        <w:top w:val="none" w:sz="0" w:space="0" w:color="auto"/>
        <w:left w:val="none" w:sz="0" w:space="0" w:color="auto"/>
        <w:bottom w:val="none" w:sz="0" w:space="0" w:color="auto"/>
        <w:right w:val="none" w:sz="0" w:space="0" w:color="auto"/>
      </w:divBdr>
    </w:div>
    <w:div w:id="43986240">
      <w:marLeft w:val="0"/>
      <w:marRight w:val="0"/>
      <w:marTop w:val="0"/>
      <w:marBottom w:val="0"/>
      <w:divBdr>
        <w:top w:val="none" w:sz="0" w:space="0" w:color="auto"/>
        <w:left w:val="none" w:sz="0" w:space="0" w:color="auto"/>
        <w:bottom w:val="none" w:sz="0" w:space="0" w:color="auto"/>
        <w:right w:val="none" w:sz="0" w:space="0" w:color="auto"/>
      </w:divBdr>
    </w:div>
    <w:div w:id="43986241">
      <w:marLeft w:val="0"/>
      <w:marRight w:val="0"/>
      <w:marTop w:val="0"/>
      <w:marBottom w:val="0"/>
      <w:divBdr>
        <w:top w:val="none" w:sz="0" w:space="0" w:color="auto"/>
        <w:left w:val="none" w:sz="0" w:space="0" w:color="auto"/>
        <w:bottom w:val="none" w:sz="0" w:space="0" w:color="auto"/>
        <w:right w:val="none" w:sz="0" w:space="0" w:color="auto"/>
      </w:divBdr>
    </w:div>
    <w:div w:id="43986242">
      <w:marLeft w:val="0"/>
      <w:marRight w:val="0"/>
      <w:marTop w:val="0"/>
      <w:marBottom w:val="0"/>
      <w:divBdr>
        <w:top w:val="none" w:sz="0" w:space="0" w:color="auto"/>
        <w:left w:val="none" w:sz="0" w:space="0" w:color="auto"/>
        <w:bottom w:val="none" w:sz="0" w:space="0" w:color="auto"/>
        <w:right w:val="none" w:sz="0" w:space="0" w:color="auto"/>
      </w:divBdr>
    </w:div>
    <w:div w:id="43986243">
      <w:marLeft w:val="0"/>
      <w:marRight w:val="0"/>
      <w:marTop w:val="0"/>
      <w:marBottom w:val="0"/>
      <w:divBdr>
        <w:top w:val="none" w:sz="0" w:space="0" w:color="auto"/>
        <w:left w:val="none" w:sz="0" w:space="0" w:color="auto"/>
        <w:bottom w:val="none" w:sz="0" w:space="0" w:color="auto"/>
        <w:right w:val="none" w:sz="0" w:space="0" w:color="auto"/>
      </w:divBdr>
    </w:div>
    <w:div w:id="43986244">
      <w:marLeft w:val="0"/>
      <w:marRight w:val="0"/>
      <w:marTop w:val="0"/>
      <w:marBottom w:val="0"/>
      <w:divBdr>
        <w:top w:val="none" w:sz="0" w:space="0" w:color="auto"/>
        <w:left w:val="none" w:sz="0" w:space="0" w:color="auto"/>
        <w:bottom w:val="none" w:sz="0" w:space="0" w:color="auto"/>
        <w:right w:val="none" w:sz="0" w:space="0" w:color="auto"/>
      </w:divBdr>
    </w:div>
    <w:div w:id="43986245">
      <w:marLeft w:val="0"/>
      <w:marRight w:val="0"/>
      <w:marTop w:val="0"/>
      <w:marBottom w:val="0"/>
      <w:divBdr>
        <w:top w:val="none" w:sz="0" w:space="0" w:color="auto"/>
        <w:left w:val="none" w:sz="0" w:space="0" w:color="auto"/>
        <w:bottom w:val="none" w:sz="0" w:space="0" w:color="auto"/>
        <w:right w:val="none" w:sz="0" w:space="0" w:color="auto"/>
      </w:divBdr>
    </w:div>
    <w:div w:id="43986246">
      <w:marLeft w:val="0"/>
      <w:marRight w:val="0"/>
      <w:marTop w:val="0"/>
      <w:marBottom w:val="0"/>
      <w:divBdr>
        <w:top w:val="none" w:sz="0" w:space="0" w:color="auto"/>
        <w:left w:val="none" w:sz="0" w:space="0" w:color="auto"/>
        <w:bottom w:val="none" w:sz="0" w:space="0" w:color="auto"/>
        <w:right w:val="none" w:sz="0" w:space="0" w:color="auto"/>
      </w:divBdr>
    </w:div>
    <w:div w:id="43986247">
      <w:marLeft w:val="0"/>
      <w:marRight w:val="0"/>
      <w:marTop w:val="0"/>
      <w:marBottom w:val="0"/>
      <w:divBdr>
        <w:top w:val="none" w:sz="0" w:space="0" w:color="auto"/>
        <w:left w:val="none" w:sz="0" w:space="0" w:color="auto"/>
        <w:bottom w:val="none" w:sz="0" w:space="0" w:color="auto"/>
        <w:right w:val="none" w:sz="0" w:space="0" w:color="auto"/>
      </w:divBdr>
    </w:div>
    <w:div w:id="43986248">
      <w:marLeft w:val="0"/>
      <w:marRight w:val="0"/>
      <w:marTop w:val="0"/>
      <w:marBottom w:val="0"/>
      <w:divBdr>
        <w:top w:val="none" w:sz="0" w:space="0" w:color="auto"/>
        <w:left w:val="none" w:sz="0" w:space="0" w:color="auto"/>
        <w:bottom w:val="none" w:sz="0" w:space="0" w:color="auto"/>
        <w:right w:val="none" w:sz="0" w:space="0" w:color="auto"/>
      </w:divBdr>
    </w:div>
    <w:div w:id="43986249">
      <w:marLeft w:val="0"/>
      <w:marRight w:val="0"/>
      <w:marTop w:val="0"/>
      <w:marBottom w:val="0"/>
      <w:divBdr>
        <w:top w:val="none" w:sz="0" w:space="0" w:color="auto"/>
        <w:left w:val="none" w:sz="0" w:space="0" w:color="auto"/>
        <w:bottom w:val="none" w:sz="0" w:space="0" w:color="auto"/>
        <w:right w:val="none" w:sz="0" w:space="0" w:color="auto"/>
      </w:divBdr>
    </w:div>
    <w:div w:id="43986250">
      <w:marLeft w:val="0"/>
      <w:marRight w:val="0"/>
      <w:marTop w:val="0"/>
      <w:marBottom w:val="0"/>
      <w:divBdr>
        <w:top w:val="none" w:sz="0" w:space="0" w:color="auto"/>
        <w:left w:val="none" w:sz="0" w:space="0" w:color="auto"/>
        <w:bottom w:val="none" w:sz="0" w:space="0" w:color="auto"/>
        <w:right w:val="none" w:sz="0" w:space="0" w:color="auto"/>
      </w:divBdr>
    </w:div>
    <w:div w:id="43986251">
      <w:marLeft w:val="0"/>
      <w:marRight w:val="0"/>
      <w:marTop w:val="0"/>
      <w:marBottom w:val="0"/>
      <w:divBdr>
        <w:top w:val="none" w:sz="0" w:space="0" w:color="auto"/>
        <w:left w:val="none" w:sz="0" w:space="0" w:color="auto"/>
        <w:bottom w:val="none" w:sz="0" w:space="0" w:color="auto"/>
        <w:right w:val="none" w:sz="0" w:space="0" w:color="auto"/>
      </w:divBdr>
    </w:div>
    <w:div w:id="43986252">
      <w:marLeft w:val="0"/>
      <w:marRight w:val="0"/>
      <w:marTop w:val="0"/>
      <w:marBottom w:val="0"/>
      <w:divBdr>
        <w:top w:val="none" w:sz="0" w:space="0" w:color="auto"/>
        <w:left w:val="none" w:sz="0" w:space="0" w:color="auto"/>
        <w:bottom w:val="none" w:sz="0" w:space="0" w:color="auto"/>
        <w:right w:val="none" w:sz="0" w:space="0" w:color="auto"/>
      </w:divBdr>
    </w:div>
    <w:div w:id="43986253">
      <w:marLeft w:val="0"/>
      <w:marRight w:val="0"/>
      <w:marTop w:val="0"/>
      <w:marBottom w:val="0"/>
      <w:divBdr>
        <w:top w:val="none" w:sz="0" w:space="0" w:color="auto"/>
        <w:left w:val="none" w:sz="0" w:space="0" w:color="auto"/>
        <w:bottom w:val="none" w:sz="0" w:space="0" w:color="auto"/>
        <w:right w:val="none" w:sz="0" w:space="0" w:color="auto"/>
      </w:divBdr>
    </w:div>
    <w:div w:id="43986254">
      <w:marLeft w:val="0"/>
      <w:marRight w:val="0"/>
      <w:marTop w:val="0"/>
      <w:marBottom w:val="0"/>
      <w:divBdr>
        <w:top w:val="none" w:sz="0" w:space="0" w:color="auto"/>
        <w:left w:val="none" w:sz="0" w:space="0" w:color="auto"/>
        <w:bottom w:val="none" w:sz="0" w:space="0" w:color="auto"/>
        <w:right w:val="none" w:sz="0" w:space="0" w:color="auto"/>
      </w:divBdr>
    </w:div>
    <w:div w:id="43986255">
      <w:marLeft w:val="0"/>
      <w:marRight w:val="0"/>
      <w:marTop w:val="0"/>
      <w:marBottom w:val="0"/>
      <w:divBdr>
        <w:top w:val="none" w:sz="0" w:space="0" w:color="auto"/>
        <w:left w:val="none" w:sz="0" w:space="0" w:color="auto"/>
        <w:bottom w:val="none" w:sz="0" w:space="0" w:color="auto"/>
        <w:right w:val="none" w:sz="0" w:space="0" w:color="auto"/>
      </w:divBdr>
    </w:div>
    <w:div w:id="43986256">
      <w:marLeft w:val="0"/>
      <w:marRight w:val="0"/>
      <w:marTop w:val="0"/>
      <w:marBottom w:val="0"/>
      <w:divBdr>
        <w:top w:val="none" w:sz="0" w:space="0" w:color="auto"/>
        <w:left w:val="none" w:sz="0" w:space="0" w:color="auto"/>
        <w:bottom w:val="none" w:sz="0" w:space="0" w:color="auto"/>
        <w:right w:val="none" w:sz="0" w:space="0" w:color="auto"/>
      </w:divBdr>
    </w:div>
    <w:div w:id="43986257">
      <w:marLeft w:val="0"/>
      <w:marRight w:val="0"/>
      <w:marTop w:val="0"/>
      <w:marBottom w:val="0"/>
      <w:divBdr>
        <w:top w:val="none" w:sz="0" w:space="0" w:color="auto"/>
        <w:left w:val="none" w:sz="0" w:space="0" w:color="auto"/>
        <w:bottom w:val="none" w:sz="0" w:space="0" w:color="auto"/>
        <w:right w:val="none" w:sz="0" w:space="0" w:color="auto"/>
      </w:divBdr>
    </w:div>
    <w:div w:id="43986258">
      <w:marLeft w:val="0"/>
      <w:marRight w:val="0"/>
      <w:marTop w:val="0"/>
      <w:marBottom w:val="0"/>
      <w:divBdr>
        <w:top w:val="none" w:sz="0" w:space="0" w:color="auto"/>
        <w:left w:val="none" w:sz="0" w:space="0" w:color="auto"/>
        <w:bottom w:val="none" w:sz="0" w:space="0" w:color="auto"/>
        <w:right w:val="none" w:sz="0" w:space="0" w:color="auto"/>
      </w:divBdr>
      <w:divsChild>
        <w:div w:id="43986197">
          <w:marLeft w:val="0"/>
          <w:marRight w:val="0"/>
          <w:marTop w:val="0"/>
          <w:marBottom w:val="0"/>
          <w:divBdr>
            <w:top w:val="none" w:sz="0" w:space="0" w:color="auto"/>
            <w:left w:val="none" w:sz="0" w:space="0" w:color="auto"/>
            <w:bottom w:val="none" w:sz="0" w:space="0" w:color="auto"/>
            <w:right w:val="none" w:sz="0" w:space="0" w:color="auto"/>
          </w:divBdr>
        </w:div>
        <w:div w:id="43986200">
          <w:marLeft w:val="0"/>
          <w:marRight w:val="0"/>
          <w:marTop w:val="0"/>
          <w:marBottom w:val="0"/>
          <w:divBdr>
            <w:top w:val="none" w:sz="0" w:space="0" w:color="auto"/>
            <w:left w:val="none" w:sz="0" w:space="0" w:color="auto"/>
            <w:bottom w:val="none" w:sz="0" w:space="0" w:color="auto"/>
            <w:right w:val="none" w:sz="0" w:space="0" w:color="auto"/>
          </w:divBdr>
        </w:div>
        <w:div w:id="43986209">
          <w:marLeft w:val="0"/>
          <w:marRight w:val="0"/>
          <w:marTop w:val="0"/>
          <w:marBottom w:val="0"/>
          <w:divBdr>
            <w:top w:val="none" w:sz="0" w:space="0" w:color="auto"/>
            <w:left w:val="none" w:sz="0" w:space="0" w:color="auto"/>
            <w:bottom w:val="none" w:sz="0" w:space="0" w:color="auto"/>
            <w:right w:val="none" w:sz="0" w:space="0" w:color="auto"/>
          </w:divBdr>
        </w:div>
      </w:divsChild>
    </w:div>
    <w:div w:id="43986259">
      <w:marLeft w:val="0"/>
      <w:marRight w:val="0"/>
      <w:marTop w:val="0"/>
      <w:marBottom w:val="0"/>
      <w:divBdr>
        <w:top w:val="none" w:sz="0" w:space="0" w:color="auto"/>
        <w:left w:val="none" w:sz="0" w:space="0" w:color="auto"/>
        <w:bottom w:val="none" w:sz="0" w:space="0" w:color="auto"/>
        <w:right w:val="none" w:sz="0" w:space="0" w:color="auto"/>
      </w:divBdr>
    </w:div>
    <w:div w:id="43986260">
      <w:marLeft w:val="0"/>
      <w:marRight w:val="0"/>
      <w:marTop w:val="0"/>
      <w:marBottom w:val="0"/>
      <w:divBdr>
        <w:top w:val="none" w:sz="0" w:space="0" w:color="auto"/>
        <w:left w:val="none" w:sz="0" w:space="0" w:color="auto"/>
        <w:bottom w:val="none" w:sz="0" w:space="0" w:color="auto"/>
        <w:right w:val="none" w:sz="0" w:space="0" w:color="auto"/>
      </w:divBdr>
    </w:div>
    <w:div w:id="43986261">
      <w:marLeft w:val="0"/>
      <w:marRight w:val="0"/>
      <w:marTop w:val="0"/>
      <w:marBottom w:val="0"/>
      <w:divBdr>
        <w:top w:val="none" w:sz="0" w:space="0" w:color="auto"/>
        <w:left w:val="none" w:sz="0" w:space="0" w:color="auto"/>
        <w:bottom w:val="none" w:sz="0" w:space="0" w:color="auto"/>
        <w:right w:val="none" w:sz="0" w:space="0" w:color="auto"/>
      </w:divBdr>
    </w:div>
    <w:div w:id="43986262">
      <w:marLeft w:val="0"/>
      <w:marRight w:val="0"/>
      <w:marTop w:val="0"/>
      <w:marBottom w:val="0"/>
      <w:divBdr>
        <w:top w:val="none" w:sz="0" w:space="0" w:color="auto"/>
        <w:left w:val="none" w:sz="0" w:space="0" w:color="auto"/>
        <w:bottom w:val="none" w:sz="0" w:space="0" w:color="auto"/>
        <w:right w:val="none" w:sz="0" w:space="0" w:color="auto"/>
      </w:divBdr>
    </w:div>
    <w:div w:id="43986263">
      <w:marLeft w:val="0"/>
      <w:marRight w:val="0"/>
      <w:marTop w:val="0"/>
      <w:marBottom w:val="0"/>
      <w:divBdr>
        <w:top w:val="none" w:sz="0" w:space="0" w:color="auto"/>
        <w:left w:val="none" w:sz="0" w:space="0" w:color="auto"/>
        <w:bottom w:val="none" w:sz="0" w:space="0" w:color="auto"/>
        <w:right w:val="none" w:sz="0" w:space="0" w:color="auto"/>
      </w:divBdr>
    </w:div>
    <w:div w:id="43986264">
      <w:marLeft w:val="0"/>
      <w:marRight w:val="0"/>
      <w:marTop w:val="0"/>
      <w:marBottom w:val="0"/>
      <w:divBdr>
        <w:top w:val="none" w:sz="0" w:space="0" w:color="auto"/>
        <w:left w:val="none" w:sz="0" w:space="0" w:color="auto"/>
        <w:bottom w:val="none" w:sz="0" w:space="0" w:color="auto"/>
        <w:right w:val="none" w:sz="0" w:space="0" w:color="auto"/>
      </w:divBdr>
    </w:div>
    <w:div w:id="43986265">
      <w:marLeft w:val="0"/>
      <w:marRight w:val="0"/>
      <w:marTop w:val="0"/>
      <w:marBottom w:val="0"/>
      <w:divBdr>
        <w:top w:val="none" w:sz="0" w:space="0" w:color="auto"/>
        <w:left w:val="none" w:sz="0" w:space="0" w:color="auto"/>
        <w:bottom w:val="none" w:sz="0" w:space="0" w:color="auto"/>
        <w:right w:val="none" w:sz="0" w:space="0" w:color="auto"/>
      </w:divBdr>
    </w:div>
    <w:div w:id="43986266">
      <w:marLeft w:val="0"/>
      <w:marRight w:val="0"/>
      <w:marTop w:val="0"/>
      <w:marBottom w:val="0"/>
      <w:divBdr>
        <w:top w:val="none" w:sz="0" w:space="0" w:color="auto"/>
        <w:left w:val="none" w:sz="0" w:space="0" w:color="auto"/>
        <w:bottom w:val="none" w:sz="0" w:space="0" w:color="auto"/>
        <w:right w:val="none" w:sz="0" w:space="0" w:color="auto"/>
      </w:divBdr>
    </w:div>
    <w:div w:id="43986267">
      <w:marLeft w:val="0"/>
      <w:marRight w:val="0"/>
      <w:marTop w:val="0"/>
      <w:marBottom w:val="0"/>
      <w:divBdr>
        <w:top w:val="none" w:sz="0" w:space="0" w:color="auto"/>
        <w:left w:val="none" w:sz="0" w:space="0" w:color="auto"/>
        <w:bottom w:val="none" w:sz="0" w:space="0" w:color="auto"/>
        <w:right w:val="none" w:sz="0" w:space="0" w:color="auto"/>
      </w:divBdr>
    </w:div>
    <w:div w:id="43986268">
      <w:marLeft w:val="0"/>
      <w:marRight w:val="0"/>
      <w:marTop w:val="0"/>
      <w:marBottom w:val="0"/>
      <w:divBdr>
        <w:top w:val="none" w:sz="0" w:space="0" w:color="auto"/>
        <w:left w:val="none" w:sz="0" w:space="0" w:color="auto"/>
        <w:bottom w:val="none" w:sz="0" w:space="0" w:color="auto"/>
        <w:right w:val="none" w:sz="0" w:space="0" w:color="auto"/>
      </w:divBdr>
    </w:div>
    <w:div w:id="43986269">
      <w:marLeft w:val="0"/>
      <w:marRight w:val="0"/>
      <w:marTop w:val="0"/>
      <w:marBottom w:val="0"/>
      <w:divBdr>
        <w:top w:val="none" w:sz="0" w:space="0" w:color="auto"/>
        <w:left w:val="none" w:sz="0" w:space="0" w:color="auto"/>
        <w:bottom w:val="none" w:sz="0" w:space="0" w:color="auto"/>
        <w:right w:val="none" w:sz="0" w:space="0" w:color="auto"/>
      </w:divBdr>
    </w:div>
    <w:div w:id="43986270">
      <w:marLeft w:val="0"/>
      <w:marRight w:val="0"/>
      <w:marTop w:val="0"/>
      <w:marBottom w:val="0"/>
      <w:divBdr>
        <w:top w:val="none" w:sz="0" w:space="0" w:color="auto"/>
        <w:left w:val="none" w:sz="0" w:space="0" w:color="auto"/>
        <w:bottom w:val="none" w:sz="0" w:space="0" w:color="auto"/>
        <w:right w:val="none" w:sz="0" w:space="0" w:color="auto"/>
      </w:divBdr>
    </w:div>
    <w:div w:id="43986271">
      <w:marLeft w:val="0"/>
      <w:marRight w:val="0"/>
      <w:marTop w:val="0"/>
      <w:marBottom w:val="0"/>
      <w:divBdr>
        <w:top w:val="none" w:sz="0" w:space="0" w:color="auto"/>
        <w:left w:val="none" w:sz="0" w:space="0" w:color="auto"/>
        <w:bottom w:val="none" w:sz="0" w:space="0" w:color="auto"/>
        <w:right w:val="none" w:sz="0" w:space="0" w:color="auto"/>
      </w:divBdr>
    </w:div>
    <w:div w:id="43986272">
      <w:marLeft w:val="0"/>
      <w:marRight w:val="0"/>
      <w:marTop w:val="0"/>
      <w:marBottom w:val="0"/>
      <w:divBdr>
        <w:top w:val="none" w:sz="0" w:space="0" w:color="auto"/>
        <w:left w:val="none" w:sz="0" w:space="0" w:color="auto"/>
        <w:bottom w:val="none" w:sz="0" w:space="0" w:color="auto"/>
        <w:right w:val="none" w:sz="0" w:space="0" w:color="auto"/>
      </w:divBdr>
    </w:div>
    <w:div w:id="43986273">
      <w:marLeft w:val="0"/>
      <w:marRight w:val="0"/>
      <w:marTop w:val="0"/>
      <w:marBottom w:val="0"/>
      <w:divBdr>
        <w:top w:val="none" w:sz="0" w:space="0" w:color="auto"/>
        <w:left w:val="none" w:sz="0" w:space="0" w:color="auto"/>
        <w:bottom w:val="none" w:sz="0" w:space="0" w:color="auto"/>
        <w:right w:val="none" w:sz="0" w:space="0" w:color="auto"/>
      </w:divBdr>
    </w:div>
    <w:div w:id="43986274">
      <w:marLeft w:val="0"/>
      <w:marRight w:val="0"/>
      <w:marTop w:val="0"/>
      <w:marBottom w:val="0"/>
      <w:divBdr>
        <w:top w:val="none" w:sz="0" w:space="0" w:color="auto"/>
        <w:left w:val="none" w:sz="0" w:space="0" w:color="auto"/>
        <w:bottom w:val="none" w:sz="0" w:space="0" w:color="auto"/>
        <w:right w:val="none" w:sz="0" w:space="0" w:color="auto"/>
      </w:divBdr>
    </w:div>
    <w:div w:id="43986275">
      <w:marLeft w:val="0"/>
      <w:marRight w:val="0"/>
      <w:marTop w:val="0"/>
      <w:marBottom w:val="0"/>
      <w:divBdr>
        <w:top w:val="none" w:sz="0" w:space="0" w:color="auto"/>
        <w:left w:val="none" w:sz="0" w:space="0" w:color="auto"/>
        <w:bottom w:val="none" w:sz="0" w:space="0" w:color="auto"/>
        <w:right w:val="none" w:sz="0" w:space="0" w:color="auto"/>
      </w:divBdr>
    </w:div>
    <w:div w:id="43986276">
      <w:marLeft w:val="0"/>
      <w:marRight w:val="0"/>
      <w:marTop w:val="0"/>
      <w:marBottom w:val="0"/>
      <w:divBdr>
        <w:top w:val="none" w:sz="0" w:space="0" w:color="auto"/>
        <w:left w:val="none" w:sz="0" w:space="0" w:color="auto"/>
        <w:bottom w:val="none" w:sz="0" w:space="0" w:color="auto"/>
        <w:right w:val="none" w:sz="0" w:space="0" w:color="auto"/>
      </w:divBdr>
    </w:div>
    <w:div w:id="43986277">
      <w:marLeft w:val="0"/>
      <w:marRight w:val="0"/>
      <w:marTop w:val="0"/>
      <w:marBottom w:val="0"/>
      <w:divBdr>
        <w:top w:val="none" w:sz="0" w:space="0" w:color="auto"/>
        <w:left w:val="none" w:sz="0" w:space="0" w:color="auto"/>
        <w:bottom w:val="none" w:sz="0" w:space="0" w:color="auto"/>
        <w:right w:val="none" w:sz="0" w:space="0" w:color="auto"/>
      </w:divBdr>
    </w:div>
    <w:div w:id="43986278">
      <w:marLeft w:val="0"/>
      <w:marRight w:val="0"/>
      <w:marTop w:val="0"/>
      <w:marBottom w:val="0"/>
      <w:divBdr>
        <w:top w:val="none" w:sz="0" w:space="0" w:color="auto"/>
        <w:left w:val="none" w:sz="0" w:space="0" w:color="auto"/>
        <w:bottom w:val="none" w:sz="0" w:space="0" w:color="auto"/>
        <w:right w:val="none" w:sz="0" w:space="0" w:color="auto"/>
      </w:divBdr>
    </w:div>
    <w:div w:id="43986279">
      <w:marLeft w:val="0"/>
      <w:marRight w:val="0"/>
      <w:marTop w:val="0"/>
      <w:marBottom w:val="0"/>
      <w:divBdr>
        <w:top w:val="none" w:sz="0" w:space="0" w:color="auto"/>
        <w:left w:val="none" w:sz="0" w:space="0" w:color="auto"/>
        <w:bottom w:val="none" w:sz="0" w:space="0" w:color="auto"/>
        <w:right w:val="none" w:sz="0" w:space="0" w:color="auto"/>
      </w:divBdr>
    </w:div>
    <w:div w:id="43986280">
      <w:marLeft w:val="0"/>
      <w:marRight w:val="0"/>
      <w:marTop w:val="0"/>
      <w:marBottom w:val="0"/>
      <w:divBdr>
        <w:top w:val="none" w:sz="0" w:space="0" w:color="auto"/>
        <w:left w:val="none" w:sz="0" w:space="0" w:color="auto"/>
        <w:bottom w:val="none" w:sz="0" w:space="0" w:color="auto"/>
        <w:right w:val="none" w:sz="0" w:space="0" w:color="auto"/>
      </w:divBdr>
    </w:div>
    <w:div w:id="43986281">
      <w:marLeft w:val="0"/>
      <w:marRight w:val="0"/>
      <w:marTop w:val="0"/>
      <w:marBottom w:val="0"/>
      <w:divBdr>
        <w:top w:val="none" w:sz="0" w:space="0" w:color="auto"/>
        <w:left w:val="none" w:sz="0" w:space="0" w:color="auto"/>
        <w:bottom w:val="none" w:sz="0" w:space="0" w:color="auto"/>
        <w:right w:val="none" w:sz="0" w:space="0" w:color="auto"/>
      </w:divBdr>
    </w:div>
    <w:div w:id="43986282">
      <w:marLeft w:val="0"/>
      <w:marRight w:val="0"/>
      <w:marTop w:val="0"/>
      <w:marBottom w:val="0"/>
      <w:divBdr>
        <w:top w:val="none" w:sz="0" w:space="0" w:color="auto"/>
        <w:left w:val="none" w:sz="0" w:space="0" w:color="auto"/>
        <w:bottom w:val="none" w:sz="0" w:space="0" w:color="auto"/>
        <w:right w:val="none" w:sz="0" w:space="0" w:color="auto"/>
      </w:divBdr>
    </w:div>
    <w:div w:id="43986283">
      <w:marLeft w:val="0"/>
      <w:marRight w:val="0"/>
      <w:marTop w:val="0"/>
      <w:marBottom w:val="0"/>
      <w:divBdr>
        <w:top w:val="none" w:sz="0" w:space="0" w:color="auto"/>
        <w:left w:val="none" w:sz="0" w:space="0" w:color="auto"/>
        <w:bottom w:val="none" w:sz="0" w:space="0" w:color="auto"/>
        <w:right w:val="none" w:sz="0" w:space="0" w:color="auto"/>
      </w:divBdr>
    </w:div>
    <w:div w:id="43986286">
      <w:marLeft w:val="0"/>
      <w:marRight w:val="0"/>
      <w:marTop w:val="0"/>
      <w:marBottom w:val="0"/>
      <w:divBdr>
        <w:top w:val="none" w:sz="0" w:space="0" w:color="auto"/>
        <w:left w:val="none" w:sz="0" w:space="0" w:color="auto"/>
        <w:bottom w:val="none" w:sz="0" w:space="0" w:color="auto"/>
        <w:right w:val="none" w:sz="0" w:space="0" w:color="auto"/>
      </w:divBdr>
    </w:div>
    <w:div w:id="43986287">
      <w:marLeft w:val="0"/>
      <w:marRight w:val="0"/>
      <w:marTop w:val="0"/>
      <w:marBottom w:val="0"/>
      <w:divBdr>
        <w:top w:val="none" w:sz="0" w:space="0" w:color="auto"/>
        <w:left w:val="none" w:sz="0" w:space="0" w:color="auto"/>
        <w:bottom w:val="none" w:sz="0" w:space="0" w:color="auto"/>
        <w:right w:val="none" w:sz="0" w:space="0" w:color="auto"/>
      </w:divBdr>
    </w:div>
    <w:div w:id="43986288">
      <w:marLeft w:val="0"/>
      <w:marRight w:val="0"/>
      <w:marTop w:val="0"/>
      <w:marBottom w:val="0"/>
      <w:divBdr>
        <w:top w:val="none" w:sz="0" w:space="0" w:color="auto"/>
        <w:left w:val="none" w:sz="0" w:space="0" w:color="auto"/>
        <w:bottom w:val="none" w:sz="0" w:space="0" w:color="auto"/>
        <w:right w:val="none" w:sz="0" w:space="0" w:color="auto"/>
      </w:divBdr>
    </w:div>
    <w:div w:id="43986289">
      <w:marLeft w:val="0"/>
      <w:marRight w:val="0"/>
      <w:marTop w:val="0"/>
      <w:marBottom w:val="0"/>
      <w:divBdr>
        <w:top w:val="none" w:sz="0" w:space="0" w:color="auto"/>
        <w:left w:val="none" w:sz="0" w:space="0" w:color="auto"/>
        <w:bottom w:val="none" w:sz="0" w:space="0" w:color="auto"/>
        <w:right w:val="none" w:sz="0" w:space="0" w:color="auto"/>
      </w:divBdr>
    </w:div>
    <w:div w:id="439862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hyperlink" Target="http://www.rgs.mef.gov.it/_Documenti/VERSIONE-I/e-GOVERNME1/ARCONET/PRINCIPICONTABILI/Allegato_n._1_al_D.Lgs_118-2011.doc" TargetMode="External"/><Relationship Id="rId26" Type="http://schemas.openxmlformats.org/officeDocument/2006/relationships/hyperlink" Target="http://www.rgs.mef.gov.it/_Documenti/VERSIONE-I/e-GOVERNME1/ARCONET/PRINCIPICONTABILI/All_4-1_Principio_applicato_della_Programmazione_con_variazioni.doc" TargetMode="External"/><Relationship Id="rId39" Type="http://schemas.openxmlformats.org/officeDocument/2006/relationships/image" Target="media/image13.emf"/><Relationship Id="rId21" Type="http://schemas.openxmlformats.org/officeDocument/2006/relationships/image" Target="media/image5.emf"/><Relationship Id="rId34" Type="http://schemas.openxmlformats.org/officeDocument/2006/relationships/package" Target="embeddings/Microsoft_Excel_Worksheet4.xlsx"/><Relationship Id="rId42" Type="http://schemas.openxmlformats.org/officeDocument/2006/relationships/package" Target="embeddings/Microsoft_Excel_Worksheet8.xlsx"/><Relationship Id="rId47" Type="http://schemas.openxmlformats.org/officeDocument/2006/relationships/image" Target="media/image17.emf"/><Relationship Id="rId50" Type="http://schemas.openxmlformats.org/officeDocument/2006/relationships/package" Target="embeddings/Microsoft_Excel_Worksheet12.xlsx"/><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Microsoft_Excel_Worksheet1.xlsx"/><Relationship Id="rId25" Type="http://schemas.openxmlformats.org/officeDocument/2006/relationships/package" Target="embeddings/Microsoft_Excel_Worksheet2.xlsx"/><Relationship Id="rId33" Type="http://schemas.openxmlformats.org/officeDocument/2006/relationships/image" Target="media/image10.emf"/><Relationship Id="rId38" Type="http://schemas.openxmlformats.org/officeDocument/2006/relationships/package" Target="embeddings/Microsoft_Excel_Worksheet6.xlsx"/><Relationship Id="rId46" Type="http://schemas.openxmlformats.org/officeDocument/2006/relationships/package" Target="embeddings/Microsoft_Excel_Worksheet10.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Microsoft_Excel_97-2003_Worksheet1.xls"/><Relationship Id="rId29" Type="http://schemas.openxmlformats.org/officeDocument/2006/relationships/hyperlink" Target="http://www.gazzettaufficiale.it/eli/id/2012/03/06/12A02395/sg;jsessionid=CenV9KTF7jtOFOVka2rziw__.ntc-as1-guri2a" TargetMode="External"/><Relationship Id="rId41" Type="http://schemas.openxmlformats.org/officeDocument/2006/relationships/image" Target="media/image14.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nanzalocale.interno.it/docum/studi/varie/testounico267-2000.pdf" TargetMode="External"/><Relationship Id="rId24" Type="http://schemas.openxmlformats.org/officeDocument/2006/relationships/image" Target="media/image7.emf"/><Relationship Id="rId32" Type="http://schemas.openxmlformats.org/officeDocument/2006/relationships/package" Target="embeddings/Microsoft_Excel_Worksheet3.xlsx"/><Relationship Id="rId37" Type="http://schemas.openxmlformats.org/officeDocument/2006/relationships/image" Target="media/image12.emf"/><Relationship Id="rId40" Type="http://schemas.openxmlformats.org/officeDocument/2006/relationships/package" Target="embeddings/Microsoft_Excel_Worksheet7.xlsx"/><Relationship Id="rId45" Type="http://schemas.openxmlformats.org/officeDocument/2006/relationships/image" Target="media/image16.e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Excel_97-2003_Worksheet.xls"/><Relationship Id="rId23" Type="http://schemas.openxmlformats.org/officeDocument/2006/relationships/image" Target="media/image6.emf"/><Relationship Id="rId28" Type="http://schemas.openxmlformats.org/officeDocument/2006/relationships/hyperlink" Target="http://www.normattiva.it/uri-res/N2Ls?urn:nir:stato:decreto.legislativo:2006-04-12;163~art128!vig=" TargetMode="External"/><Relationship Id="rId36" Type="http://schemas.openxmlformats.org/officeDocument/2006/relationships/package" Target="embeddings/Microsoft_Excel_Worksheet5.xlsx"/><Relationship Id="rId49" Type="http://schemas.openxmlformats.org/officeDocument/2006/relationships/image" Target="media/image18.emf"/><Relationship Id="rId57" Type="http://schemas.openxmlformats.org/officeDocument/2006/relationships/theme" Target="theme/theme1.xml"/><Relationship Id="rId10" Type="http://schemas.openxmlformats.org/officeDocument/2006/relationships/hyperlink" Target="http://www.normattiva.it/uri-res/N2Ls?urn:nir:stato:decreto.legislativo:2011-06-23;118!vig=" TargetMode="External"/><Relationship Id="rId19" Type="http://schemas.openxmlformats.org/officeDocument/2006/relationships/image" Target="media/image4.emf"/><Relationship Id="rId31" Type="http://schemas.openxmlformats.org/officeDocument/2006/relationships/image" Target="media/image9.emf"/><Relationship Id="rId44" Type="http://schemas.openxmlformats.org/officeDocument/2006/relationships/package" Target="embeddings/Microsoft_Excel_Worksheet9.xlsx"/><Relationship Id="rId52" Type="http://schemas.openxmlformats.org/officeDocument/2006/relationships/package" Target="embeddings/Microsoft_Excel_Worksheet13.xlsx"/><Relationship Id="rId4" Type="http://schemas.openxmlformats.org/officeDocument/2006/relationships/settings" Target="settings.xml"/><Relationship Id="rId9" Type="http://schemas.openxmlformats.org/officeDocument/2006/relationships/hyperlink" Target="http://www.rgs.mef.gov.it/_Documenti/VERSIONE-I/e-GOVERNME1/ARCONET/PRINCIPICONTABILI/All_4-1_Principio_applicato_della_Programmazione_con_variazioni.doc" TargetMode="External"/><Relationship Id="rId14" Type="http://schemas.openxmlformats.org/officeDocument/2006/relationships/image" Target="media/image2.emf"/><Relationship Id="rId22" Type="http://schemas.openxmlformats.org/officeDocument/2006/relationships/oleObject" Target="embeddings/Microsoft_Excel_97-2003_Worksheet2.xls"/><Relationship Id="rId27" Type="http://schemas.openxmlformats.org/officeDocument/2006/relationships/hyperlink" Target="http://www.normattiva.it/uri-res/N2Ls?urn:nir:stato:decreto.legislativo:2011-06-23;118!vig=" TargetMode="External"/><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Excel_Worksheet11.xlsx"/><Relationship Id="rId56" Type="http://schemas.openxmlformats.org/officeDocument/2006/relationships/fontTable" Target="fontTable.xml"/><Relationship Id="rId8" Type="http://schemas.openxmlformats.org/officeDocument/2006/relationships/hyperlink" Target="http://finanzalocale.interno.it/docum/studi/varie/testounico267-2000.pdf" TargetMode="External"/><Relationship Id="rId51" Type="http://schemas.openxmlformats.org/officeDocument/2006/relationships/image" Target="media/image19.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F2EB5-0A29-486A-935F-B55E0D8C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4255</Words>
  <Characters>24260</Characters>
  <Application>Microsoft Office Word</Application>
  <DocSecurity>0</DocSecurity>
  <Lines>202</Lines>
  <Paragraphs>56</Paragraphs>
  <ScaleCrop>false</ScaleCrop>
  <HeadingPairs>
    <vt:vector size="2" baseType="variant">
      <vt:variant>
        <vt:lpstr>Titolo</vt:lpstr>
      </vt:variant>
      <vt:variant>
        <vt:i4>1</vt:i4>
      </vt:variant>
    </vt:vector>
  </HeadingPairs>
  <TitlesOfParts>
    <vt:vector size="1" baseType="lpstr">
      <vt:lpstr>Previsione 2017</vt:lpstr>
    </vt:vector>
  </TitlesOfParts>
  <Company>BORGHI</Company>
  <LinksUpToDate>false</LinksUpToDate>
  <CharactersWithSpaces>28459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Previsione 2017</dc:title>
  <dc:subject>Parere organo di revisione</dc:subject>
  <dc:creator>Antonino Borghi</dc:creator>
  <cp:keywords>Ancrel 2017</cp:keywords>
  <dc:description>Testo formulato dal Presidente Nazionale di ANCREL Antonino Borghi e dal gruppo tecnico</dc:description>
  <cp:lastModifiedBy>Gigi</cp:lastModifiedBy>
  <cp:revision>2</cp:revision>
  <cp:lastPrinted>2018-02-21T10:59:00Z</cp:lastPrinted>
  <dcterms:created xsi:type="dcterms:W3CDTF">2018-02-21T11:00:00Z</dcterms:created>
  <dcterms:modified xsi:type="dcterms:W3CDTF">2018-02-21T11:00:00Z</dcterms:modified>
</cp:coreProperties>
</file>